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1"/>
        <w:tblBorders/>
      </w:tblPr>
      <w:tblGrid>
        <w:gridCol w:w="519"/>
        <w:gridCol w:w="520"/>
      </w:tblGrid>
      <w:tr>
        <w:trPr>
          <w:trHeight w:hRule="atLeast" w:val="863"/>
          <w:cantSplit w:val="true"/>
        </w:trPr>
        <w:tc>
          <w:tcPr>
            <w:tcW w:type="dxa" w:w="519"/>
            <w:tcBorders/>
            <w:shd w:fill="auto" w:val="clear"/>
            <w:tcMar>
              <w:top w:type="dxa" w:w="0"/>
              <w:left w:type="dxa" w:w="108"/>
              <w:bottom w:type="dxa" w:w="0"/>
              <w:right w:type="dxa" w:w="108"/>
            </w:tcMar>
          </w:tcPr>
          <w:p>
            <w:pPr>
              <w:sectPr>
                <w:type w:val="nextPage"/>
                <w:pgSz w:h="16838" w:w="11906"/>
                <w:pgMar w:bottom="737" w:footer="0" w:gutter="0" w:header="0" w:left="1985" w:right="680" w:top="737"/>
                <w:pgNumType w:fmt="decimal"/>
                <w:formProt w:val="false"/>
                <w:titlePg/>
                <w:textDirection w:val="lrTb"/>
                <w:docGrid w:charSpace="4096" w:linePitch="360" w:type="default"/>
              </w:sectPr>
              <w:pStyle w:val="style28"/>
              <w:spacing w:after="20" w:before="80"/>
            </w:pPr>
            <w:r>
              <w:rPr/>
            </w:r>
          </w:p>
          <w:p>
            <w:pPr>
              <w:pStyle w:val="style0"/>
              <w:spacing w:after="20" w:before="80"/>
            </w:pPr>
            <w:r>
              <w:rPr>
                <w:sz w:val="20"/>
              </w:rPr>
            </w:r>
          </w:p>
          <w:p>
            <w:pPr>
              <w:pStyle w:val="style0"/>
              <w:spacing w:after="20" w:before="80"/>
            </w:pPr>
            <w:r>
              <w:rPr>
                <w:sz w:val="20"/>
              </w:rPr>
            </w:r>
          </w:p>
        </w:tc>
        <w:tc>
          <w:tcPr>
            <w:tcW w:type="dxa" w:w="520"/>
            <w:gridSpan w:val="18"/>
            <w:tcBorders/>
            <w:shd w:fill="auto" w:val="clear"/>
            <w:tcMar>
              <w:top w:type="dxa" w:w="0"/>
              <w:left w:type="dxa" w:w="108"/>
              <w:bottom w:type="dxa" w:w="0"/>
              <w:right w:type="dxa" w:w="108"/>
            </w:tcMar>
          </w:tcPr>
          <w:p>
            <w:pPr>
              <w:pStyle w:val="style0"/>
              <w:spacing w:after="20" w:before="80"/>
            </w:pPr>
            <w:r>
              <w:rPr>
                <w:sz w:val="20"/>
              </w:rPr>
              <w:t xml:space="preserve">Зарегистрировано  </w:t>
            </w:r>
            <w:r>
              <w:rPr>
                <w:sz w:val="32"/>
                <w:szCs w:val="32"/>
              </w:rPr>
              <w:t>«21» февраля 2013 г.</w:t>
            </w:r>
          </w:p>
          <w:p>
            <w:pPr>
              <w:pStyle w:val="style28"/>
              <w:spacing w:after="20" w:before="240"/>
            </w:pPr>
            <w:r>
              <w:rPr/>
              <w:t>государственный регистрационный номер</w:t>
            </w:r>
          </w:p>
        </w:tc>
      </w:tr>
      <w:tr>
        <w:trPr>
          <w:trHeight w:hRule="atLeast" w:val="454"/>
          <w:cantSplit w:val="false"/>
        </w:trPr>
        <w:tc>
          <w:tcPr>
            <w:tcW w:type="dxa" w:w="3543"/>
            <w:gridSpan w:val="2"/>
            <w:tcBorders/>
            <w:shd w:fill="auto" w:val="clear"/>
            <w:tcMar>
              <w:top w:type="dxa" w:w="0"/>
              <w:left w:type="dxa" w:w="108"/>
              <w:bottom w:type="dxa" w:w="0"/>
              <w:right w:type="dxa" w:w="108"/>
            </w:tcMar>
          </w:tcPr>
          <w:p>
            <w:pPr>
              <w:pStyle w:val="style0"/>
              <w:spacing w:after="20" w:before="80"/>
            </w:pPr>
            <w:r>
              <w:rPr>
                <w:sz w:val="36"/>
              </w:rPr>
            </w:r>
          </w:p>
        </w:tc>
        <w:tc>
          <w:tcPr>
            <w:tcW w:type="dxa" w:w="340"/>
            <w:tcBorders>
              <w:top w:color="00000A" w:space="0" w:sz="8" w:val="single"/>
              <w:left w:color="00000A" w:space="0" w:sz="8" w:val="single"/>
              <w:bottom w:color="00000A" w:space="0" w:sz="8" w:val="single"/>
              <w:right w:color="00000A" w:space="0" w:sz="8" w:val="single"/>
            </w:tcBorders>
            <w:shd w:fill="auto" w:val="clear"/>
            <w:tcMar>
              <w:top w:type="dxa" w:w="0"/>
              <w:left w:type="dxa" w:w="108"/>
              <w:bottom w:type="dxa" w:w="0"/>
              <w:right w:type="dxa" w:w="108"/>
            </w:tcMar>
          </w:tcPr>
          <w:p>
            <w:pPr>
              <w:pStyle w:val="style0"/>
              <w:spacing w:after="20" w:before="80"/>
            </w:pPr>
            <w:r>
              <w:rPr>
                <w:b/>
                <w:sz w:val="36"/>
              </w:rPr>
              <w:t>1</w:t>
            </w:r>
          </w:p>
        </w:tc>
        <w:tc>
          <w:tcPr>
            <w:tcW w:type="dxa" w:w="342"/>
            <w:tcBorders/>
            <w:shd w:fill="auto" w:val="clear"/>
            <w:tcMar>
              <w:top w:type="dxa" w:w="0"/>
              <w:left w:type="dxa" w:w="108"/>
              <w:bottom w:type="dxa" w:w="0"/>
              <w:right w:type="dxa" w:w="108"/>
            </w:tcMar>
          </w:tcPr>
          <w:p>
            <w:pPr>
              <w:pStyle w:val="style0"/>
              <w:spacing w:after="20" w:before="80"/>
            </w:pPr>
            <w:r>
              <w:rPr>
                <w:b/>
                <w:sz w:val="36"/>
              </w:rPr>
              <w:t>-</w:t>
            </w:r>
          </w:p>
        </w:tc>
        <w:tc>
          <w:tcPr>
            <w:tcW w:type="dxa" w:w="341"/>
            <w:tcBorders>
              <w:top w:color="00000A" w:space="0" w:sz="8" w:val="single"/>
              <w:left w:color="00000A" w:space="0" w:sz="8" w:val="single"/>
              <w:bottom w:color="00000A" w:space="0" w:sz="8" w:val="single"/>
              <w:right w:color="00000A" w:space="0" w:sz="8" w:val="single"/>
            </w:tcBorders>
            <w:shd w:fill="auto" w:val="clear"/>
            <w:tcMar>
              <w:top w:type="dxa" w:w="0"/>
              <w:left w:type="dxa" w:w="108"/>
              <w:bottom w:type="dxa" w:w="0"/>
              <w:right w:type="dxa" w:w="108"/>
            </w:tcMar>
          </w:tcPr>
          <w:p>
            <w:pPr>
              <w:pStyle w:val="style0"/>
              <w:spacing w:after="20" w:before="80"/>
            </w:pPr>
            <w:r>
              <w:rPr>
                <w:b/>
                <w:sz w:val="36"/>
              </w:rPr>
              <w:t>0</w:t>
            </w:r>
          </w:p>
        </w:tc>
        <w:tc>
          <w:tcPr>
            <w:tcW w:type="dxa" w:w="342"/>
            <w:tcBorders>
              <w:top w:color="00000A" w:space="0" w:sz="8" w:val="single"/>
              <w:left w:color="00000A" w:space="0" w:sz="8" w:val="single"/>
              <w:bottom w:color="00000A" w:space="0" w:sz="8" w:val="single"/>
              <w:right w:color="00000A" w:space="0" w:sz="8" w:val="single"/>
            </w:tcBorders>
            <w:shd w:fill="auto" w:val="clear"/>
            <w:tcMar>
              <w:top w:type="dxa" w:w="0"/>
              <w:left w:type="dxa" w:w="108"/>
              <w:bottom w:type="dxa" w:w="0"/>
              <w:right w:type="dxa" w:w="108"/>
            </w:tcMar>
          </w:tcPr>
          <w:p>
            <w:pPr>
              <w:pStyle w:val="style0"/>
              <w:spacing w:after="20" w:before="80"/>
            </w:pPr>
            <w:r>
              <w:rPr>
                <w:b/>
                <w:sz w:val="36"/>
              </w:rPr>
              <w:t>1</w:t>
            </w:r>
          </w:p>
        </w:tc>
        <w:tc>
          <w:tcPr>
            <w:tcW w:type="dxa" w:w="341"/>
            <w:tcBorders/>
            <w:shd w:fill="auto" w:val="clear"/>
            <w:tcMar>
              <w:top w:type="dxa" w:w="0"/>
              <w:left w:type="dxa" w:w="108"/>
              <w:bottom w:type="dxa" w:w="0"/>
              <w:right w:type="dxa" w:w="108"/>
            </w:tcMar>
          </w:tcPr>
          <w:p>
            <w:pPr>
              <w:pStyle w:val="style0"/>
              <w:spacing w:after="20" w:before="80"/>
            </w:pPr>
            <w:r>
              <w:rPr>
                <w:b/>
                <w:sz w:val="36"/>
              </w:rPr>
              <w:t>-</w:t>
            </w:r>
          </w:p>
        </w:tc>
        <w:tc>
          <w:tcPr>
            <w:tcW w:type="dxa" w:w="342"/>
            <w:tcBorders>
              <w:top w:color="00000A" w:space="0" w:sz="8" w:val="single"/>
              <w:left w:color="00000A" w:space="0" w:sz="8" w:val="single"/>
              <w:bottom w:color="00000A" w:space="0" w:sz="8" w:val="single"/>
              <w:right w:color="00000A" w:space="0" w:sz="8" w:val="single"/>
            </w:tcBorders>
            <w:shd w:fill="auto" w:val="clear"/>
            <w:tcMar>
              <w:top w:type="dxa" w:w="0"/>
              <w:left w:type="dxa" w:w="108"/>
              <w:bottom w:type="dxa" w:w="0"/>
              <w:right w:type="dxa" w:w="108"/>
            </w:tcMar>
          </w:tcPr>
          <w:p>
            <w:pPr>
              <w:pStyle w:val="style0"/>
              <w:spacing w:after="20" w:before="80"/>
            </w:pPr>
            <w:r>
              <w:rPr>
                <w:b/>
                <w:sz w:val="36"/>
              </w:rPr>
              <w:t>0</w:t>
            </w:r>
          </w:p>
        </w:tc>
        <w:tc>
          <w:tcPr>
            <w:tcW w:type="dxa" w:w="341"/>
            <w:tcBorders>
              <w:top w:color="00000A" w:space="0" w:sz="8" w:val="single"/>
              <w:left w:color="00000A" w:space="0" w:sz="8" w:val="single"/>
              <w:bottom w:color="00000A" w:space="0" w:sz="8" w:val="single"/>
              <w:right w:color="00000A" w:space="0" w:sz="8" w:val="single"/>
            </w:tcBorders>
            <w:shd w:fill="auto" w:val="clear"/>
            <w:tcMar>
              <w:top w:type="dxa" w:w="0"/>
              <w:left w:type="dxa" w:w="108"/>
              <w:bottom w:type="dxa" w:w="0"/>
              <w:right w:type="dxa" w:w="108"/>
            </w:tcMar>
          </w:tcPr>
          <w:p>
            <w:pPr>
              <w:pStyle w:val="style0"/>
              <w:spacing w:after="20" w:before="80"/>
            </w:pPr>
            <w:r>
              <w:rPr>
                <w:b/>
                <w:sz w:val="36"/>
              </w:rPr>
              <w:t>0</w:t>
            </w:r>
          </w:p>
        </w:tc>
        <w:tc>
          <w:tcPr>
            <w:tcW w:type="dxa" w:w="342"/>
            <w:tcBorders>
              <w:top w:color="00000A" w:space="0" w:sz="8" w:val="single"/>
              <w:left w:color="00000A" w:space="0" w:sz="8" w:val="single"/>
              <w:bottom w:color="00000A" w:space="0" w:sz="8" w:val="single"/>
              <w:right w:color="00000A" w:space="0" w:sz="8" w:val="single"/>
            </w:tcBorders>
            <w:shd w:fill="auto" w:val="clear"/>
            <w:tcMar>
              <w:top w:type="dxa" w:w="0"/>
              <w:left w:type="dxa" w:w="108"/>
              <w:bottom w:type="dxa" w:w="0"/>
              <w:right w:type="dxa" w:w="108"/>
            </w:tcMar>
          </w:tcPr>
          <w:p>
            <w:pPr>
              <w:pStyle w:val="style0"/>
              <w:spacing w:after="20" w:before="80"/>
            </w:pPr>
            <w:r>
              <w:rPr>
                <w:b/>
                <w:sz w:val="36"/>
              </w:rPr>
              <w:t>1</w:t>
            </w:r>
          </w:p>
        </w:tc>
        <w:tc>
          <w:tcPr>
            <w:tcW w:type="dxa" w:w="340"/>
            <w:tcBorders>
              <w:top w:color="00000A" w:space="0" w:sz="8" w:val="single"/>
              <w:left w:color="00000A" w:space="0" w:sz="8" w:val="single"/>
              <w:bottom w:color="00000A" w:space="0" w:sz="8" w:val="single"/>
              <w:right w:color="00000A" w:space="0" w:sz="8" w:val="single"/>
            </w:tcBorders>
            <w:shd w:fill="auto" w:val="clear"/>
            <w:tcMar>
              <w:top w:type="dxa" w:w="0"/>
              <w:left w:type="dxa" w:w="108"/>
              <w:bottom w:type="dxa" w:w="0"/>
              <w:right w:type="dxa" w:w="108"/>
            </w:tcMar>
          </w:tcPr>
          <w:p>
            <w:pPr>
              <w:pStyle w:val="style0"/>
              <w:spacing w:after="20" w:before="80"/>
            </w:pPr>
            <w:r>
              <w:rPr>
                <w:b/>
                <w:sz w:val="36"/>
              </w:rPr>
              <w:t>4</w:t>
            </w:r>
          </w:p>
        </w:tc>
        <w:tc>
          <w:tcPr>
            <w:tcW w:type="dxa" w:w="342"/>
            <w:tcBorders>
              <w:top w:color="00000A" w:space="0" w:sz="8" w:val="single"/>
              <w:left w:color="00000A" w:space="0" w:sz="8" w:val="single"/>
              <w:bottom w:color="00000A" w:space="0" w:sz="8" w:val="single"/>
              <w:right w:color="00000A" w:space="0" w:sz="8" w:val="single"/>
            </w:tcBorders>
            <w:shd w:fill="auto" w:val="clear"/>
            <w:tcMar>
              <w:top w:type="dxa" w:w="0"/>
              <w:left w:type="dxa" w:w="108"/>
              <w:bottom w:type="dxa" w:w="0"/>
              <w:right w:type="dxa" w:w="108"/>
            </w:tcMar>
          </w:tcPr>
          <w:p>
            <w:pPr>
              <w:pStyle w:val="style0"/>
              <w:spacing w:after="20" w:before="80"/>
            </w:pPr>
            <w:r>
              <w:rPr>
                <w:b/>
                <w:sz w:val="36"/>
              </w:rPr>
              <w:t>5</w:t>
            </w:r>
          </w:p>
        </w:tc>
        <w:tc>
          <w:tcPr>
            <w:tcW w:type="dxa" w:w="341"/>
            <w:tcBorders/>
            <w:shd w:fill="auto" w:val="clear"/>
            <w:tcMar>
              <w:top w:type="dxa" w:w="0"/>
              <w:left w:type="dxa" w:w="108"/>
              <w:bottom w:type="dxa" w:w="0"/>
              <w:right w:type="dxa" w:w="108"/>
            </w:tcMar>
          </w:tcPr>
          <w:p>
            <w:pPr>
              <w:pStyle w:val="style0"/>
              <w:spacing w:after="20" w:before="80"/>
            </w:pPr>
            <w:r>
              <w:rPr>
                <w:b/>
                <w:sz w:val="36"/>
              </w:rPr>
              <w:t>-</w:t>
            </w:r>
          </w:p>
        </w:tc>
        <w:tc>
          <w:tcPr>
            <w:tcW w:type="dxa" w:w="342"/>
            <w:tcBorders>
              <w:top w:color="00000A" w:space="0" w:sz="8" w:val="single"/>
              <w:left w:color="00000A" w:space="0" w:sz="8" w:val="single"/>
              <w:bottom w:color="00000A" w:space="0" w:sz="8" w:val="single"/>
              <w:right w:color="00000A" w:space="0" w:sz="8" w:val="single"/>
            </w:tcBorders>
            <w:shd w:fill="auto" w:val="clear"/>
            <w:tcMar>
              <w:top w:type="dxa" w:w="0"/>
              <w:left w:type="dxa" w:w="108"/>
              <w:bottom w:type="dxa" w:w="0"/>
              <w:right w:type="dxa" w:w="108"/>
            </w:tcMar>
          </w:tcPr>
          <w:p>
            <w:pPr>
              <w:pStyle w:val="style0"/>
              <w:spacing w:after="20" w:before="80"/>
            </w:pPr>
            <w:r>
              <w:rPr>
                <w:b/>
                <w:sz w:val="36"/>
              </w:rPr>
              <w:t>Е</w:t>
            </w:r>
          </w:p>
        </w:tc>
        <w:tc>
          <w:tcPr>
            <w:tcW w:type="dxa" w:w="341"/>
            <w:tcBorders/>
            <w:shd w:fill="auto" w:val="clear"/>
            <w:tcMar>
              <w:top w:type="dxa" w:w="0"/>
              <w:left w:type="dxa" w:w="108"/>
              <w:bottom w:type="dxa" w:w="0"/>
              <w:right w:type="dxa" w:w="108"/>
            </w:tcMar>
          </w:tcPr>
          <w:p>
            <w:pPr>
              <w:pStyle w:val="style0"/>
              <w:spacing w:after="20" w:before="80"/>
            </w:pPr>
            <w:r>
              <w:rPr>
                <w:b/>
                <w:sz w:val="36"/>
              </w:rPr>
              <w:t>-</w:t>
            </w:r>
          </w:p>
        </w:tc>
        <w:tc>
          <w:tcPr>
            <w:tcW w:type="dxa" w:w="342"/>
            <w:tcBorders>
              <w:top w:color="00000A" w:space="0" w:sz="8" w:val="single"/>
              <w:left w:color="00000A" w:space="0" w:sz="8" w:val="single"/>
              <w:bottom w:color="00000A" w:space="0" w:sz="8" w:val="single"/>
              <w:right w:color="00000A" w:space="0" w:sz="8" w:val="single"/>
            </w:tcBorders>
            <w:shd w:fill="auto" w:val="clear"/>
            <w:tcMar>
              <w:top w:type="dxa" w:w="0"/>
              <w:left w:type="dxa" w:w="108"/>
              <w:bottom w:type="dxa" w:w="0"/>
              <w:right w:type="dxa" w:w="108"/>
            </w:tcMar>
          </w:tcPr>
          <w:p>
            <w:pPr>
              <w:pStyle w:val="style0"/>
              <w:spacing w:after="20" w:before="80"/>
            </w:pPr>
            <w:r>
              <w:rPr>
                <w:b/>
                <w:sz w:val="36"/>
              </w:rPr>
              <w:t>0</w:t>
            </w:r>
          </w:p>
        </w:tc>
        <w:tc>
          <w:tcPr>
            <w:tcW w:type="dxa" w:w="341"/>
            <w:tcBorders>
              <w:top w:color="00000A" w:space="0" w:sz="8" w:val="single"/>
              <w:left w:color="00000A" w:space="0" w:sz="8" w:val="single"/>
              <w:bottom w:color="00000A" w:space="0" w:sz="8" w:val="single"/>
              <w:right w:color="00000A" w:space="0" w:sz="8" w:val="single"/>
            </w:tcBorders>
            <w:shd w:fill="auto" w:val="clear"/>
            <w:tcMar>
              <w:top w:type="dxa" w:w="0"/>
              <w:left w:type="dxa" w:w="108"/>
              <w:bottom w:type="dxa" w:w="0"/>
              <w:right w:type="dxa" w:w="108"/>
            </w:tcMar>
          </w:tcPr>
          <w:p>
            <w:pPr>
              <w:pStyle w:val="style0"/>
              <w:spacing w:after="20" w:before="80"/>
            </w:pPr>
            <w:r>
              <w:rPr>
                <w:b/>
                <w:sz w:val="36"/>
              </w:rPr>
              <w:t>0</w:t>
            </w:r>
          </w:p>
        </w:tc>
        <w:tc>
          <w:tcPr>
            <w:tcW w:type="dxa" w:w="342"/>
            <w:tcBorders>
              <w:top w:color="00000A" w:space="0" w:sz="8" w:val="single"/>
              <w:left w:color="00000A" w:space="0" w:sz="8" w:val="single"/>
              <w:bottom w:color="00000A" w:space="0" w:sz="8" w:val="single"/>
              <w:right w:color="00000A" w:space="0" w:sz="8" w:val="single"/>
            </w:tcBorders>
            <w:shd w:fill="auto" w:val="clear"/>
            <w:tcMar>
              <w:top w:type="dxa" w:w="0"/>
              <w:left w:type="dxa" w:w="108"/>
              <w:bottom w:type="dxa" w:w="0"/>
              <w:right w:type="dxa" w:w="108"/>
            </w:tcMar>
          </w:tcPr>
          <w:p>
            <w:pPr>
              <w:pStyle w:val="style0"/>
              <w:spacing w:after="20" w:before="80"/>
            </w:pPr>
            <w:r>
              <w:rPr>
                <w:b/>
                <w:sz w:val="36"/>
              </w:rPr>
              <w:t>1</w:t>
            </w:r>
          </w:p>
        </w:tc>
        <w:tc>
          <w:tcPr>
            <w:tcW w:type="dxa" w:w="348"/>
            <w:tcBorders>
              <w:top w:color="00000A" w:space="0" w:sz="8" w:val="single"/>
              <w:left w:color="00000A" w:space="0" w:sz="8" w:val="single"/>
              <w:bottom w:color="00000A" w:space="0" w:sz="8" w:val="single"/>
              <w:right w:color="00000A" w:space="0" w:sz="8" w:val="single"/>
            </w:tcBorders>
            <w:shd w:fill="auto" w:val="clear"/>
            <w:tcMar>
              <w:top w:type="dxa" w:w="0"/>
              <w:left w:type="dxa" w:w="108"/>
              <w:bottom w:type="dxa" w:w="0"/>
              <w:right w:type="dxa" w:w="108"/>
            </w:tcMar>
          </w:tcPr>
          <w:p>
            <w:pPr>
              <w:pStyle w:val="style0"/>
              <w:spacing w:after="20" w:before="80"/>
            </w:pPr>
            <w:r>
              <w:rPr>
                <w:b/>
                <w:sz w:val="36"/>
                <w:lang w:val="en-US"/>
              </w:rPr>
              <w:t>D</w:t>
            </w:r>
          </w:p>
        </w:tc>
      </w:tr>
      <w:tr>
        <w:trPr>
          <w:cantSplit w:val="true"/>
        </w:trPr>
        <w:tc>
          <w:tcPr>
            <w:tcW w:type="dxa" w:w="3543"/>
            <w:gridSpan w:val="2"/>
            <w:tcBorders/>
            <w:shd w:fill="auto" w:val="clear"/>
            <w:tcMar>
              <w:top w:type="dxa" w:w="0"/>
              <w:left w:type="dxa" w:w="108"/>
              <w:bottom w:type="dxa" w:w="0"/>
              <w:right w:type="dxa" w:w="108"/>
            </w:tcMar>
          </w:tcPr>
          <w:p>
            <w:pPr>
              <w:pStyle w:val="style0"/>
              <w:spacing w:after="20" w:before="80"/>
            </w:pPr>
            <w:r>
              <w:rPr>
                <w:sz w:val="20"/>
              </w:rPr>
            </w:r>
          </w:p>
        </w:tc>
        <w:tc>
          <w:tcPr>
            <w:tcW w:type="dxa" w:w="1"/>
            <w:gridSpan w:val="17"/>
            <w:tcBorders>
              <w:bottom w:color="00000A" w:space="0" w:sz="8" w:val="single"/>
            </w:tcBorders>
            <w:shd w:fill="auto" w:val="clear"/>
            <w:tcMar>
              <w:top w:type="dxa" w:w="0"/>
              <w:left w:type="dxa" w:w="108"/>
              <w:bottom w:type="dxa" w:w="0"/>
              <w:right w:type="dxa" w:w="108"/>
            </w:tcMar>
          </w:tcPr>
          <w:p>
            <w:pPr>
              <w:pStyle w:val="style0"/>
              <w:spacing w:after="20" w:before="160"/>
              <w:jc w:val="center"/>
            </w:pPr>
            <w:r>
              <w:rPr>
                <w:b/>
                <w:i/>
                <w:sz w:val="28"/>
                <w:szCs w:val="28"/>
              </w:rPr>
              <w:t>РО ФСФР России в ЮВР</w:t>
            </w:r>
          </w:p>
        </w:tc>
      </w:tr>
      <w:tr>
        <w:trPr>
          <w:trHeight w:hRule="atLeast" w:val="874"/>
          <w:cantSplit w:val="true"/>
        </w:trPr>
        <w:tc>
          <w:tcPr>
            <w:tcW w:type="dxa" w:w="3543"/>
            <w:gridSpan w:val="2"/>
            <w:tcBorders/>
            <w:shd w:fill="auto" w:val="clear"/>
            <w:tcMar>
              <w:top w:type="dxa" w:w="0"/>
              <w:left w:type="dxa" w:w="108"/>
              <w:bottom w:type="dxa" w:w="0"/>
              <w:right w:type="dxa" w:w="108"/>
            </w:tcMar>
          </w:tcPr>
          <w:p>
            <w:pPr>
              <w:pStyle w:val="style0"/>
              <w:spacing w:after="20" w:before="80"/>
            </w:pPr>
            <w:r>
              <w:rPr>
                <w:sz w:val="20"/>
              </w:rPr>
            </w:r>
          </w:p>
        </w:tc>
        <w:tc>
          <w:tcPr>
            <w:tcW w:type="dxa" w:w="1"/>
            <w:gridSpan w:val="17"/>
            <w:tcBorders/>
            <w:shd w:fill="auto" w:val="clear"/>
            <w:tcMar>
              <w:top w:type="dxa" w:w="0"/>
              <w:left w:type="dxa" w:w="108"/>
              <w:bottom w:type="dxa" w:w="0"/>
              <w:right w:type="dxa" w:w="108"/>
            </w:tcMar>
          </w:tcPr>
          <w:p>
            <w:pPr>
              <w:pStyle w:val="style0"/>
              <w:spacing w:after="360" w:before="40"/>
              <w:jc w:val="center"/>
            </w:pPr>
            <w:r>
              <w:rPr>
                <w:sz w:val="18"/>
              </w:rPr>
              <w:t>(указывается наименование регистрирующего органа)</w:t>
            </w:r>
          </w:p>
          <w:p>
            <w:pPr>
              <w:pStyle w:val="style5"/>
              <w:numPr>
                <w:ilvl w:val="4"/>
                <w:numId w:val="1"/>
              </w:numPr>
              <w:spacing w:after="20" w:before="160"/>
            </w:pPr>
            <w:r>
              <w:rPr/>
            </w:r>
          </w:p>
        </w:tc>
      </w:tr>
      <w:tr>
        <w:trPr>
          <w:cantSplit w:val="true"/>
        </w:trPr>
        <w:tc>
          <w:tcPr>
            <w:tcW w:type="dxa" w:w="3543"/>
            <w:gridSpan w:val="2"/>
            <w:tcBorders/>
            <w:shd w:fill="auto" w:val="clear"/>
            <w:tcMar>
              <w:top w:type="dxa" w:w="0"/>
              <w:left w:type="dxa" w:w="108"/>
              <w:bottom w:type="dxa" w:w="0"/>
              <w:right w:type="dxa" w:w="108"/>
            </w:tcMar>
          </w:tcPr>
          <w:p>
            <w:pPr>
              <w:pStyle w:val="style0"/>
              <w:spacing w:after="20" w:before="80"/>
            </w:pPr>
            <w:r>
              <w:rPr>
                <w:sz w:val="20"/>
              </w:rPr>
            </w:r>
          </w:p>
        </w:tc>
        <w:tc>
          <w:tcPr>
            <w:tcW w:type="dxa" w:w="1"/>
            <w:gridSpan w:val="17"/>
            <w:tcBorders>
              <w:top w:color="00000A" w:space="0" w:sz="8" w:val="single"/>
            </w:tcBorders>
            <w:shd w:fill="auto" w:val="clear"/>
            <w:tcMar>
              <w:top w:type="dxa" w:w="0"/>
              <w:left w:type="dxa" w:w="108"/>
              <w:bottom w:type="dxa" w:w="0"/>
              <w:right w:type="dxa" w:w="108"/>
            </w:tcMar>
          </w:tcPr>
          <w:p>
            <w:pPr>
              <w:pStyle w:val="style32"/>
              <w:spacing w:after="20" w:before="40"/>
            </w:pPr>
            <w:r>
              <w:rPr/>
              <w:t>(подпись уполномоченного лица)</w:t>
            </w:r>
          </w:p>
          <w:p>
            <w:pPr>
              <w:pStyle w:val="style32"/>
              <w:spacing w:after="20" w:before="300"/>
            </w:pPr>
            <w:r>
              <w:rPr/>
              <w:t>(печать регистрирующего органа)</w:t>
            </w:r>
          </w:p>
        </w:tc>
      </w:tr>
    </w:tbl>
    <w:p>
      <w:pPr>
        <w:pStyle w:val="style24"/>
        <w:spacing w:after="40" w:before="840" w:line="360" w:lineRule="auto"/>
      </w:pPr>
      <w:r>
        <w:rPr>
          <w:spacing w:val="40"/>
        </w:rPr>
        <w:t>РЕШЕНИЕ О ДОПОЛНИТЕЛЬНОМ ВЫПУСКЕ ЦЕННЫХ БУМАГ</w:t>
      </w:r>
    </w:p>
    <w:p>
      <w:pPr>
        <w:pStyle w:val="style0"/>
        <w:spacing w:after="40" w:before="200"/>
        <w:jc w:val="center"/>
      </w:pPr>
      <w:r>
        <w:rPr>
          <w:b/>
          <w:i/>
          <w:sz w:val="40"/>
        </w:rPr>
        <w:t>Открытое акционерное общество    «Производство специальных автомобилей «БРОНТО»</w:t>
      </w:r>
    </w:p>
    <w:p>
      <w:pPr>
        <w:pStyle w:val="style0"/>
        <w:spacing w:after="40" w:before="200"/>
        <w:jc w:val="center"/>
      </w:pPr>
      <w:r>
        <w:rPr>
          <w:b/>
          <w:i/>
          <w:sz w:val="24"/>
        </w:rPr>
        <w:t>акции (именные) обыкновенные бездокументарные</w:t>
      </w:r>
    </w:p>
    <w:p>
      <w:pPr>
        <w:pStyle w:val="style0"/>
        <w:spacing w:after="40" w:before="80"/>
        <w:jc w:val="center"/>
      </w:pPr>
      <w:r>
        <w:rPr>
          <w:b/>
          <w:i/>
          <w:sz w:val="24"/>
        </w:rPr>
        <w:t>номинальная стоимость каждой акции – 1 (Один) рубль</w:t>
      </w:r>
    </w:p>
    <w:p>
      <w:pPr>
        <w:pStyle w:val="style0"/>
        <w:spacing w:after="40" w:before="80"/>
        <w:jc w:val="center"/>
      </w:pPr>
      <w:r>
        <w:rPr>
          <w:b/>
          <w:i/>
          <w:sz w:val="24"/>
        </w:rPr>
        <w:t>количество ценных бумаг – 54 677 402 (Пятьдесят четыре миллиона шестьсот семьдесят семь тысяч четыреста две) штуки</w:t>
      </w:r>
    </w:p>
    <w:p>
      <w:pPr>
        <w:pStyle w:val="style0"/>
        <w:spacing w:after="40" w:before="80"/>
        <w:jc w:val="center"/>
      </w:pPr>
      <w:r>
        <w:rPr>
          <w:b/>
          <w:i/>
          <w:sz w:val="24"/>
        </w:rPr>
        <w:t>способ размещения ценных бумаг – закрытая подписка</w:t>
      </w:r>
    </w:p>
    <w:p>
      <w:pPr>
        <w:pStyle w:val="style0"/>
        <w:spacing w:after="40" w:before="400"/>
        <w:jc w:val="both"/>
      </w:pPr>
      <w:r>
        <w:rPr/>
        <w:t xml:space="preserve">Утверждено решением </w:t>
      </w:r>
      <w:r>
        <w:rPr>
          <w:b/>
        </w:rPr>
        <w:t>совета директоров открытого акционерного общества «Производство специальных автомобилей «БРОНТО»</w:t>
      </w:r>
      <w:r>
        <w:rPr/>
        <w:t xml:space="preserve">, принятым </w:t>
      </w:r>
      <w:r>
        <w:rPr>
          <w:b/>
        </w:rPr>
        <w:t>15.01.2013</w:t>
      </w:r>
      <w:r>
        <w:rPr/>
        <w:t xml:space="preserve">,  протокол от </w:t>
      </w:r>
      <w:r>
        <w:rPr>
          <w:b/>
        </w:rPr>
        <w:t>17.01.2013 №</w:t>
      </w:r>
      <w:r>
        <w:rPr>
          <w:b/>
          <w:lang w:val="en-US"/>
        </w:rPr>
        <w:t> </w:t>
      </w:r>
      <w:r>
        <w:rPr>
          <w:b/>
        </w:rPr>
        <w:t>б\н</w:t>
      </w:r>
    </w:p>
    <w:p>
      <w:pPr>
        <w:pStyle w:val="style0"/>
        <w:spacing w:after="40" w:before="120"/>
        <w:jc w:val="both"/>
      </w:pPr>
      <w:r>
        <w:rPr/>
        <w:t xml:space="preserve">на основании </w:t>
      </w:r>
      <w:r>
        <w:rPr>
          <w:b/>
        </w:rPr>
        <w:t>решения об увеличении уставного капитала акционерного общества путем размещения дополнительных акций</w:t>
      </w:r>
      <w:r>
        <w:rPr/>
        <w:t xml:space="preserve">, принятого </w:t>
      </w:r>
      <w:r>
        <w:rPr>
          <w:b/>
        </w:rPr>
        <w:t>внеочередным общим собранием акционеров</w:t>
      </w:r>
      <w:r>
        <w:rPr/>
        <w:t xml:space="preserve"> </w:t>
      </w:r>
      <w:r>
        <w:rPr>
          <w:b/>
        </w:rPr>
        <w:t>открытого акционерного общества «Производство специальных автомобилей «БРОНТО»</w:t>
      </w:r>
      <w:r>
        <w:rPr/>
        <w:t xml:space="preserve"> </w:t>
      </w:r>
      <w:r>
        <w:rPr>
          <w:b/>
        </w:rPr>
        <w:t>27.12.2012</w:t>
      </w:r>
      <w:r>
        <w:rPr/>
        <w:t xml:space="preserve">,  протокол от </w:t>
      </w:r>
      <w:r>
        <w:rPr>
          <w:b/>
        </w:rPr>
        <w:t>28.12.2012 № б\н</w:t>
      </w:r>
    </w:p>
    <w:p>
      <w:pPr>
        <w:pStyle w:val="style0"/>
        <w:spacing w:after="40" w:before="280"/>
        <w:jc w:val="both"/>
      </w:pPr>
      <w:r>
        <w:rPr/>
        <w:t xml:space="preserve">Место нахождения эмитента: </w:t>
      </w:r>
      <w:r>
        <w:rPr>
          <w:b/>
        </w:rPr>
        <w:t>Российская Федерация, Самарская область, город Тольятти, Автозаводский район, улица Заставная, дом 7</w:t>
      </w:r>
    </w:p>
    <w:p>
      <w:pPr>
        <w:pStyle w:val="style0"/>
        <w:spacing w:after="40" w:before="0"/>
        <w:jc w:val="both"/>
      </w:pPr>
      <w:r>
        <w:rPr/>
        <w:t xml:space="preserve">Контактные телефоны с указанием междугороднего кода: </w:t>
      </w:r>
      <w:r>
        <w:rPr>
          <w:b/>
        </w:rPr>
        <w:t>(8482) 69-75-77, 69-75-80</w:t>
      </w:r>
    </w:p>
    <w:p>
      <w:pPr>
        <w:pStyle w:val="style35"/>
        <w:tabs/>
        <w:spacing w:after="40" w:before="720"/>
      </w:pPr>
      <w:r>
        <w:rPr>
          <w:b/>
        </w:rPr>
        <w:t>Генеральный директор ОАО «ПСА «БРОНТО»</w:t>
      </w:r>
    </w:p>
    <w:p>
      <w:pPr>
        <w:pStyle w:val="style35"/>
        <w:tabs/>
        <w:spacing w:after="40" w:before="240"/>
      </w:pPr>
      <w:r>
        <w:rPr/>
        <w:t xml:space="preserve">______________________ / </w:t>
      </w:r>
      <w:r>
        <w:rPr>
          <w:b/>
        </w:rPr>
        <w:t>В.Г.Щукин</w:t>
      </w:r>
      <w:r>
        <w:rPr/>
        <w:t xml:space="preserve"> /</w:t>
      </w:r>
    </w:p>
    <w:p>
      <w:pPr>
        <w:pStyle w:val="style0"/>
        <w:pageBreakBefore/>
        <w:spacing w:after="40" w:before="120"/>
      </w:pPr>
      <w:r>
        <w:rPr/>
        <w:t xml:space="preserve">Дата: </w:t>
      </w:r>
      <w:r>
        <w:rPr>
          <w:b/>
        </w:rPr>
        <w:t>21.01.2013</w:t>
      </w:r>
      <w:r>
        <w:rPr/>
        <w:t xml:space="preserve">        М.П.</w:t>
      </w:r>
      <w:r>
        <w:rPr>
          <w:b/>
          <w:sz w:val="24"/>
        </w:rPr>
        <w:t>1. Вид, категория (тип) ценных бумаг.</w:t>
      </w:r>
    </w:p>
    <w:p>
      <w:pPr>
        <w:pStyle w:val="style0"/>
        <w:jc w:val="both"/>
      </w:pPr>
      <w:r>
        <w:rPr>
          <w:rStyle w:val="style16"/>
        </w:rPr>
        <w:t>Акции (именные)</w:t>
      </w:r>
    </w:p>
    <w:p>
      <w:pPr>
        <w:pStyle w:val="style0"/>
        <w:jc w:val="both"/>
      </w:pPr>
      <w:r>
        <w:rPr>
          <w:rStyle w:val="style16"/>
          <w:i w:val="false"/>
          <w:sz w:val="23"/>
        </w:rPr>
        <w:t xml:space="preserve">Категория акций: </w:t>
      </w:r>
      <w:r>
        <w:rPr>
          <w:rStyle w:val="style16"/>
        </w:rPr>
        <w:t>обыкновенные</w:t>
      </w:r>
    </w:p>
    <w:p>
      <w:pPr>
        <w:pStyle w:val="style0"/>
        <w:jc w:val="both"/>
      </w:pPr>
      <w:r>
        <w:rPr>
          <w:rStyle w:val="style16"/>
          <w:i w:val="false"/>
          <w:sz w:val="23"/>
        </w:rPr>
        <w:t>Ценные бумаги не являются конвертируемыми</w:t>
      </w:r>
    </w:p>
    <w:p>
      <w:pPr>
        <w:pStyle w:val="style1"/>
      </w:pPr>
      <w:r>
        <w:rPr/>
        <w:t>2. Форма ценных бумаг.</w:t>
      </w:r>
    </w:p>
    <w:p>
      <w:pPr>
        <w:pStyle w:val="style0"/>
        <w:jc w:val="both"/>
      </w:pPr>
      <w:r>
        <w:rPr>
          <w:rStyle w:val="style16"/>
        </w:rPr>
        <w:t>Бездокументарные</w:t>
      </w:r>
    </w:p>
    <w:p>
      <w:pPr>
        <w:pStyle w:val="style1"/>
      </w:pPr>
      <w:r>
        <w:rPr/>
        <w:t>3. Указание на обязательное централизованное хранение.</w:t>
      </w:r>
    </w:p>
    <w:p>
      <w:pPr>
        <w:pStyle w:val="style0"/>
        <w:jc w:val="both"/>
      </w:pPr>
      <w:r>
        <w:rPr>
          <w:rStyle w:val="style16"/>
        </w:rPr>
        <w:t>Сведения не указываются для размещаемых ценных бумаг данной формы</w:t>
      </w:r>
    </w:p>
    <w:p>
      <w:pPr>
        <w:pStyle w:val="style1"/>
        <w:jc w:val="both"/>
      </w:pPr>
      <w:r>
        <w:rPr/>
        <w:t>4. Номинальная стоимость каждой ценной бумаги дополнительного выпуска.</w:t>
      </w:r>
    </w:p>
    <w:p>
      <w:pPr>
        <w:pStyle w:val="style0"/>
        <w:jc w:val="both"/>
      </w:pPr>
      <w:r>
        <w:rPr>
          <w:rStyle w:val="style16"/>
        </w:rPr>
        <w:t>1 рубль</w:t>
      </w:r>
    </w:p>
    <w:p>
      <w:pPr>
        <w:pStyle w:val="style1"/>
      </w:pPr>
      <w:r>
        <w:rPr/>
        <w:t>5. Количество ценных бумаг дополнительного выпуска.</w:t>
      </w:r>
    </w:p>
    <w:p>
      <w:pPr>
        <w:pStyle w:val="style0"/>
      </w:pPr>
      <w:r>
        <w:rPr>
          <w:rStyle w:val="style16"/>
        </w:rPr>
        <w:t>54 677 402 штуки</w:t>
      </w:r>
    </w:p>
    <w:p>
      <w:pPr>
        <w:pStyle w:val="style1"/>
      </w:pPr>
      <w:r>
        <w:rPr/>
        <w:t>6. Общее количество ценных бумаг данного выпуска, размещенных ранее.</w:t>
      </w:r>
    </w:p>
    <w:p>
      <w:pPr>
        <w:pStyle w:val="style0"/>
      </w:pPr>
      <w:r>
        <w:rPr>
          <w:rStyle w:val="style16"/>
        </w:rPr>
        <w:t>362 102 штуки</w:t>
      </w:r>
    </w:p>
    <w:p>
      <w:pPr>
        <w:pStyle w:val="style1"/>
      </w:pPr>
      <w:r>
        <w:rPr/>
        <w:t>7. Права владельца каждой ценной бумаги дополнительного выпуска:</w:t>
      </w:r>
    </w:p>
    <w:p>
      <w:pPr>
        <w:pStyle w:val="style1"/>
        <w:spacing w:after="40" w:before="120"/>
        <w:jc w:val="both"/>
      </w:pPr>
      <w:r>
        <w:rPr/>
        <w:t>7.1. Права владельца каждой обыкновенной акции (указываются точные положения устава акционерного общества о правах, предоставляемых акционерам обыкновенными акциями: о праве на получение объявленных дивидендов, о праве на участие в общем собрании акционеров с правом голоса по всем вопросам его компетенции, о праве на получение части имущества акционерного общества в случае его ликвидации)</w:t>
      </w:r>
    </w:p>
    <w:p>
      <w:pPr>
        <w:pStyle w:val="style0"/>
        <w:spacing w:after="0" w:before="20"/>
        <w:jc w:val="both"/>
      </w:pPr>
      <w:r>
        <w:rPr>
          <w:rStyle w:val="style16"/>
        </w:rPr>
        <w:t>9.2. Акционеры - владельцы обыкновенных акций общества имеют право:</w:t>
      </w:r>
    </w:p>
    <w:p>
      <w:pPr>
        <w:pStyle w:val="style47"/>
        <w:numPr>
          <w:ilvl w:val="0"/>
          <w:numId w:val="2"/>
        </w:numPr>
        <w:spacing w:after="0" w:before="20"/>
        <w:ind w:hanging="357" w:left="357" w:right="0"/>
        <w:jc w:val="both"/>
      </w:pPr>
      <w:r>
        <w:rPr>
          <w:rStyle w:val="style16"/>
        </w:rPr>
        <w:t>участвовать в общем собрании акционеров с правом голоса по всем вопросам его компетенции;</w:t>
      </w:r>
    </w:p>
    <w:p>
      <w:pPr>
        <w:pStyle w:val="style47"/>
        <w:numPr>
          <w:ilvl w:val="0"/>
          <w:numId w:val="2"/>
        </w:numPr>
        <w:spacing w:after="0" w:before="20"/>
        <w:ind w:hanging="357" w:left="357" w:right="0"/>
        <w:jc w:val="both"/>
      </w:pPr>
      <w:r>
        <w:rPr>
          <w:rStyle w:val="style16"/>
        </w:rPr>
        <w:t>получать дивиденды;</w:t>
      </w:r>
    </w:p>
    <w:p>
      <w:pPr>
        <w:pStyle w:val="style47"/>
        <w:numPr>
          <w:ilvl w:val="0"/>
          <w:numId w:val="2"/>
        </w:numPr>
        <w:spacing w:after="0" w:before="20"/>
        <w:ind w:hanging="357" w:left="357" w:right="0"/>
        <w:jc w:val="both"/>
      </w:pPr>
      <w:r>
        <w:rPr>
          <w:rStyle w:val="style16"/>
        </w:rPr>
        <w:t>получать часть имущества общества в случае его ликвидации;</w:t>
      </w:r>
    </w:p>
    <w:p>
      <w:pPr>
        <w:pStyle w:val="style0"/>
        <w:spacing w:after="0" w:before="20"/>
        <w:jc w:val="both"/>
      </w:pPr>
      <w:r>
        <w:rPr>
          <w:rStyle w:val="style16"/>
        </w:rPr>
        <w:t>…</w:t>
      </w:r>
    </w:p>
    <w:p>
      <w:pPr>
        <w:pStyle w:val="style41"/>
        <w:spacing w:after="120" w:before="120"/>
        <w:jc w:val="both"/>
      </w:pPr>
      <w:r>
        <w:rPr>
          <w:rStyle w:val="style16"/>
          <w:i w:val="false"/>
          <w:sz w:val="23"/>
        </w:rPr>
        <w:t>Уставом акционерного общества не предусмотрено ограничение максимального числа голосов, принадлежащих одному акционеру.</w:t>
      </w:r>
    </w:p>
    <w:p>
      <w:pPr>
        <w:pStyle w:val="style1"/>
        <w:spacing w:after="40" w:before="200"/>
        <w:jc w:val="both"/>
      </w:pPr>
      <w:r>
        <w:rPr/>
        <w:t>7.2. Права владельца каждой привилегированной акции</w:t>
      </w:r>
    </w:p>
    <w:p>
      <w:pPr>
        <w:pStyle w:val="style0"/>
      </w:pPr>
      <w:r>
        <w:rPr>
          <w:rStyle w:val="style16"/>
        </w:rPr>
        <w:t>Сведения не указываются для размещаемых акций данной категории</w:t>
      </w:r>
    </w:p>
    <w:p>
      <w:pPr>
        <w:pStyle w:val="style1"/>
        <w:spacing w:after="40" w:before="200"/>
        <w:jc w:val="both"/>
      </w:pPr>
      <w:r>
        <w:rPr/>
        <w:t>7.3. Права владельца каждой облигации</w:t>
      </w:r>
    </w:p>
    <w:p>
      <w:pPr>
        <w:pStyle w:val="style0"/>
      </w:pPr>
      <w:r>
        <w:rPr>
          <w:rStyle w:val="style16"/>
        </w:rPr>
        <w:t>Сведения не указываются для размещаемых ценных бумаг данного вида</w:t>
      </w:r>
    </w:p>
    <w:p>
      <w:pPr>
        <w:pStyle w:val="style1"/>
        <w:spacing w:after="40" w:before="200"/>
        <w:jc w:val="both"/>
      </w:pPr>
      <w:r>
        <w:rPr/>
        <w:t>7.4. Информация об акциях, право на приобретение которых предоставляют опционы эмитента, и о порядке и условиях осуществления этого права</w:t>
      </w:r>
    </w:p>
    <w:p>
      <w:pPr>
        <w:pStyle w:val="style0"/>
      </w:pPr>
      <w:r>
        <w:rPr>
          <w:rStyle w:val="style16"/>
        </w:rPr>
        <w:t>Сведения не указываются для размещаемых ценных бумаг данного вида</w:t>
      </w:r>
    </w:p>
    <w:p>
      <w:pPr>
        <w:pStyle w:val="style1"/>
        <w:spacing w:after="40" w:before="200"/>
        <w:jc w:val="both"/>
      </w:pPr>
      <w:r>
        <w:rPr/>
        <w:t>7.5. Информация о ценных бумагах, в которые конвертируются размещаемые ценные бумаги, и о порядке и условиях такой конвертации</w:t>
      </w:r>
    </w:p>
    <w:p>
      <w:pPr>
        <w:pStyle w:val="style0"/>
      </w:pPr>
      <w:r>
        <w:rPr>
          <w:rStyle w:val="style16"/>
        </w:rPr>
        <w:t>Сведения не указываются для размещаемых ценных бумаг с данными правами</w:t>
      </w:r>
    </w:p>
    <w:p>
      <w:pPr>
        <w:pStyle w:val="style1"/>
      </w:pPr>
      <w:r>
        <w:rPr/>
        <w:t>8. Условия и порядок размещения ценных бумаг дополнительного выпуска:</w:t>
      </w:r>
    </w:p>
    <w:p>
      <w:pPr>
        <w:pStyle w:val="style1"/>
        <w:spacing w:after="40" w:before="120"/>
      </w:pPr>
      <w:r>
        <w:rPr/>
        <w:t>8.1. Способ размещения ценных бумаг</w:t>
      </w:r>
    </w:p>
    <w:p>
      <w:pPr>
        <w:pStyle w:val="style0"/>
      </w:pPr>
      <w:r>
        <w:rPr>
          <w:rStyle w:val="style16"/>
        </w:rPr>
        <w:t>Закрытая подписка</w:t>
      </w:r>
    </w:p>
    <w:p>
      <w:pPr>
        <w:pStyle w:val="style0"/>
        <w:jc w:val="both"/>
      </w:pPr>
      <w:r>
        <w:rPr>
          <w:rStyle w:val="style16"/>
          <w:i w:val="false"/>
          <w:sz w:val="23"/>
        </w:rPr>
        <w:t>Круг потенциальных приобретателей ценных бумаг (также может указываться количество ценных бумаг, размещаемых каждому из указанных лиц):</w:t>
      </w:r>
    </w:p>
    <w:p>
      <w:pPr>
        <w:pStyle w:val="style0"/>
        <w:widowControl/>
        <w:spacing w:after="0" w:before="0"/>
        <w:jc w:val="both"/>
      </w:pPr>
      <w:r>
        <w:rPr>
          <w:rStyle w:val="style16"/>
        </w:rPr>
        <w:t>Открытое акционерное общество «АВТОВАЗ» (основной государственный регистрационный номер (ОГРН), за которым в Единый государственный реестр юридических лиц внесена запись о создании данной организации как юридического лица: 1026301983113)</w:t>
      </w:r>
    </w:p>
    <w:p>
      <w:pPr>
        <w:pStyle w:val="style1"/>
        <w:spacing w:after="40" w:before="120"/>
      </w:pPr>
      <w:r>
        <w:rPr/>
        <w:t>8.2. Срок размещения ценных бумаг</w:t>
      </w:r>
    </w:p>
    <w:p>
      <w:pPr>
        <w:pStyle w:val="style41"/>
      </w:pPr>
      <w:r>
        <w:rPr>
          <w:rStyle w:val="style16"/>
          <w:i w:val="false"/>
          <w:sz w:val="23"/>
        </w:rPr>
        <w:t>Порядок определения даты начала размещения ценных бумаг:</w:t>
      </w:r>
    </w:p>
    <w:p>
      <w:pPr>
        <w:pStyle w:val="style0"/>
        <w:jc w:val="both"/>
      </w:pPr>
      <w:r>
        <w:rPr>
          <w:rStyle w:val="style16"/>
        </w:rPr>
        <w:t>Одиннадцатый день с даты получения открытым акционерным обществом «Производство специальных автомобилей «БРОНТО» (именуемым в дальнейшем также «Эмитент») уведомления регистрирующего органа о государственной регистрации дополнительного выпуска ценных бумаг</w:t>
      </w:r>
    </w:p>
    <w:p>
      <w:pPr>
        <w:pStyle w:val="style41"/>
      </w:pPr>
      <w:r>
        <w:rPr>
          <w:rStyle w:val="style16"/>
          <w:i w:val="false"/>
          <w:sz w:val="23"/>
        </w:rPr>
        <w:t>Порядок определения даты окончания размещения ценных бумаг:</w:t>
      </w:r>
    </w:p>
    <w:p>
      <w:pPr>
        <w:pStyle w:val="style0"/>
        <w:jc w:val="both"/>
      </w:pPr>
      <w:r>
        <w:rPr>
          <w:rStyle w:val="style16"/>
        </w:rPr>
        <w:t>Дата внесения записи в реестр владельцев именных ценных бумаг Эмитента о переводе последней ценной бумаги дополнительного выпуска на лицевой счет лица, заключившего с Эмитентом договор купли-продажи размещаемых ценных бумаг, но не позднее 80 (Восемьдесят) дней с даты получения Эмитентом уведомления регистрирующего органа о государственной регистрации дополнительного выпуска ценных бумаг</w:t>
      </w:r>
    </w:p>
    <w:p>
      <w:pPr>
        <w:pStyle w:val="style41"/>
        <w:jc w:val="both"/>
      </w:pPr>
      <w:r>
        <w:rPr>
          <w:rStyle w:val="style16"/>
          <w:i w:val="false"/>
          <w:sz w:val="23"/>
        </w:rPr>
        <w:t>Срок размещения ценных бумаг указанием на даты раскрытия какой-либо информации о дополнительном выпуске ценных бумаг не определяется</w:t>
      </w:r>
    </w:p>
    <w:p>
      <w:pPr>
        <w:pStyle w:val="style1"/>
        <w:spacing w:after="40" w:before="120"/>
      </w:pPr>
      <w:r>
        <w:rPr/>
        <w:t>8.3. Порядок размещения ценных бумаг</w:t>
      </w:r>
    </w:p>
    <w:p>
      <w:pPr>
        <w:pStyle w:val="style41"/>
        <w:jc w:val="both"/>
      </w:pPr>
      <w:r>
        <w:rPr>
          <w:rStyle w:val="style16"/>
          <w:i w:val="false"/>
          <w:sz w:val="23"/>
        </w:rPr>
        <w:t>Порядок и условия заключения договоров, направленных на отчуждение ценных бумаг первым владельцам в ходе их размещения:</w:t>
      </w:r>
    </w:p>
    <w:p>
      <w:pPr>
        <w:pStyle w:val="style0"/>
        <w:jc w:val="both"/>
      </w:pPr>
      <w:r>
        <w:rPr>
          <w:rStyle w:val="style16"/>
        </w:rPr>
        <w:t>Дополнительные акции Эмитента размещаются лицам, имеющим преимущественное право приобретения дополнительных акций и изъявившим намерение их приобрести, и открытому акционерному обществу «АВТОВАЗ» (именуемому в дальнейшем также «ОАО «АВТОВАЗ»»), при этом каждое лицо, имеющее преимущественное право приобретения дополнительных акций Эмитента, вправе приобрести целое число акций в пределах количества акций, пропорционального количеству обыкновенных акций Эмитента, принадлежащих данному лицу, а ОАО «АВТОВАЗ» вправе приобрести целое число акций в пределах количества акций, оставшихся неразмещенными по итогам осуществления преимущественного права приобретения дополнительных акций Эмитента. Дополнительные акции Эмитента размещаются при условии их полной оплаты.</w:t>
      </w:r>
    </w:p>
    <w:p>
      <w:pPr>
        <w:pStyle w:val="style0"/>
        <w:jc w:val="both"/>
      </w:pPr>
      <w:r>
        <w:rPr>
          <w:rStyle w:val="style16"/>
        </w:rPr>
        <w:t>В список лиц, имеющих преимущественное право приобретения размещаемых дополнительных акций Эмитента (именуемый в дальнейшем «Список»), включаются акционеры Эмитента, голосовавшие против или не принимавшие участия в голосовании по вопросу о размещении посредством закрытой подписки акций Эмитента (вопрос № 2 «Увеличение уставного капитала ОАО «ПСА «БРОНТО» путем размещения дополнительных акций» повестки дня внеочередного общего собрания акционеров Эмитента, проведенного 27.12.2012). Список составляется на основании данных реестра акционеров Эмитента по состоянию на 12.11.2012 (дату составления списка лиц, имеющих право на участие во внеочередном общем собрании акционеров Эмитента, проведенном 27.12.2012, на котором было принято решение о размещении дополнительных акций Эмитента).</w:t>
      </w:r>
    </w:p>
    <w:p>
      <w:pPr>
        <w:pStyle w:val="style0"/>
        <w:jc w:val="both"/>
      </w:pPr>
      <w:r>
        <w:rPr>
          <w:rStyle w:val="style16"/>
        </w:rPr>
        <w:t>Эмитент уведомляет лиц, включенных в Список, о возможности осуществления ими преимущественного права приобретения дополнительных акций Эмитента. Уведомление осуществляется не позднее 10 (Десять) дней с даты получения Эмитентом уведомления регистрирующего органа о государственной регистрации дополнительного выпуска ценных бумаг путем направления каждому лицу, включенному в Список, заказным письмом или вручения каждому лицу, включенному в Список, или его должным образом уполномоченному представителю под роспись сообщения о принятии регистрирующим органом решения о государственной регистрации дополнительного выпуска ценных бумаг Эмитента, о дате получения Эмитентом уведомления регистрирующего органа о государственной регистрации дополнительного выпуска ценных бумаг Эмитента и о возможности осуществления лицами, включенными в Список, преимущественного права приобретения дополнительных акций Эмитента. В данном сообщении указываются также вид, категория и количество размещаемых ценных бумаг, цена их размещения (в том числе при осуществлении преимущественного права приобретения дополнительных акций Эмитента), форма оплаты размещаемых дополнительных акций Эмитента (денежными средствами в валюте Российской Федерации по безналичному расчету с возможностью оплаты приобретаемых ценных бумаг путем зачета денежных требований к Эмитенту), платежные (банковские) реквизиты Эмитента, по которым должны перечисляться денежные средства в оплату приобретаемых дополнительных акций, порядок направления заявлений о зачете денежных требований к Эмитенту в оплату приобретаемых дополнительных акций, порядок определения количества ценных бумаг, которое вправе приобрести каждое лицо, включенное в Список, порядок, в котором заявления лиц, включенных в Список, о приобретении размещаемых дополнительных акций Эмитента (именуемые в дальнейшем «Заявления», а в единственном числе в соответствующем контексте – «Заявление») должны быть поданы Эмитенту, а также срок, в течение которого Заявления должны поступить Эмитенту.</w:t>
      </w:r>
    </w:p>
    <w:p>
      <w:pPr>
        <w:pStyle w:val="style0"/>
        <w:jc w:val="both"/>
      </w:pPr>
      <w:r>
        <w:rPr>
          <w:rStyle w:val="style16"/>
        </w:rPr>
        <w:t>Каждое лицо, включенное в Список, желающее реализовать свое преимущественное право приобретения дополнительных акций Эмитента, вправе подать Эмитенту Заявление на приобретение целого числа размещаемых акций, указав в нем число акций, которое намеревается приобрести данное лицо, не превышающее максимального количества акций, определенного в соответствии с формулой, указанной в настоящем решении о дополнительном выпуске ценных бумаг. Заявление подается путем его направления почтовой связью или предоставления лично лицом, включенным в Список, или его должным образом уполномоченным представителем по адресу: 445032, Российская Федерация, Самарская область, г. Тольятти, ул. Заставная, 7.</w:t>
      </w:r>
    </w:p>
    <w:p>
      <w:pPr>
        <w:pStyle w:val="style0"/>
        <w:jc w:val="both"/>
      </w:pPr>
      <w:r>
        <w:rPr>
          <w:rStyle w:val="style16"/>
        </w:rPr>
        <w:t>Максимальное количество акций, в пределах которого каждое лицо, включенное в Список, имеет право приобрести размещаемые акции при осуществлении преимущественного права приобретения дополнительных акций Эмитента, определяется по формуле:</w:t>
      </w:r>
    </w:p>
    <w:p>
      <w:pPr>
        <w:pStyle w:val="style0"/>
        <w:jc w:val="both"/>
      </w:pPr>
      <w:r>
        <w:rPr>
          <w:rStyle w:val="style16"/>
        </w:rPr>
        <w:t>N</w:t>
      </w:r>
      <w:r>
        <w:rPr>
          <w:rStyle w:val="style16"/>
          <w:vertAlign w:val="subscript"/>
          <w:lang w:val="en-US"/>
        </w:rPr>
        <w:t>max</w:t>
      </w:r>
      <w:r>
        <w:rPr>
          <w:rStyle w:val="style16"/>
        </w:rPr>
        <w:t>=151×N, где</w:t>
      </w:r>
    </w:p>
    <w:p>
      <w:pPr>
        <w:pStyle w:val="style0"/>
        <w:jc w:val="both"/>
      </w:pPr>
      <w:r>
        <w:rPr>
          <w:rStyle w:val="style16"/>
        </w:rPr>
        <w:t>N</w:t>
      </w:r>
      <w:r>
        <w:rPr>
          <w:rStyle w:val="style16"/>
          <w:vertAlign w:val="subscript"/>
          <w:lang w:val="en-US"/>
        </w:rPr>
        <w:t>max</w:t>
      </w:r>
      <w:r>
        <w:rPr>
          <w:rStyle w:val="style16"/>
        </w:rPr>
        <w:t xml:space="preserve"> – максимальное количество акций, в пределах которого каждое лицо, включенное в Список, имеет право приобрести размещаемые акции при осуществлении преимущественного права приобретения дополнительных акций Эмитента;</w:t>
      </w:r>
    </w:p>
    <w:p>
      <w:pPr>
        <w:pStyle w:val="style0"/>
        <w:jc w:val="both"/>
      </w:pPr>
      <w:r>
        <w:rPr>
          <w:rStyle w:val="style16"/>
        </w:rPr>
        <w:t>N – количество обыкновенных акций Эмитента, которым владеет соответствующее лицо, включенное в Список, по данным реестра акционеров Эмитента по состоянию на 12.11.2012 (дату составления списка лиц, имеющих право на участие во внеочередном общем собрании акционеров Эмитента, проведенном 27.12.2012, на котором было принято решение о размещении дополнительных акций Эмитента).</w:t>
      </w:r>
    </w:p>
    <w:p>
      <w:pPr>
        <w:pStyle w:val="style0"/>
        <w:jc w:val="both"/>
      </w:pPr>
      <w:r>
        <w:rPr>
          <w:rStyle w:val="style16"/>
        </w:rPr>
        <w:t>Должным образом уполномоченным представителем юридического лица являются:</w:t>
      </w:r>
    </w:p>
    <w:p>
      <w:pPr>
        <w:pStyle w:val="style0"/>
        <w:jc w:val="both"/>
      </w:pPr>
      <w:r>
        <w:rPr>
          <w:rStyle w:val="style16"/>
        </w:rPr>
        <w:t>- физическое лицо, имеющее право действовать от имени этого юридического лица без доверенности;</w:t>
      </w:r>
    </w:p>
    <w:p>
      <w:pPr>
        <w:pStyle w:val="style0"/>
        <w:jc w:val="both"/>
      </w:pPr>
      <w:r>
        <w:rPr>
          <w:rStyle w:val="style16"/>
        </w:rPr>
        <w:t>- физическое лицо, действующее от имени этого юридического лица на основании доверенности, содержащей соответствующие полномочия.</w:t>
      </w:r>
    </w:p>
    <w:p>
      <w:pPr>
        <w:pStyle w:val="style0"/>
        <w:jc w:val="both"/>
      </w:pPr>
      <w:r>
        <w:rPr>
          <w:rStyle w:val="style16"/>
        </w:rPr>
        <w:t>Должным образом уполномоченным представителем физического лица являются:</w:t>
      </w:r>
    </w:p>
    <w:p>
      <w:pPr>
        <w:pStyle w:val="style0"/>
        <w:jc w:val="both"/>
      </w:pPr>
      <w:r>
        <w:rPr>
          <w:rStyle w:val="style16"/>
        </w:rPr>
        <w:t>- физическое лицо, действующее от имени этого физического лица на основании доверенности, содержащей соответствующие полномочия;</w:t>
      </w:r>
    </w:p>
    <w:p>
      <w:pPr>
        <w:pStyle w:val="style0"/>
        <w:jc w:val="both"/>
      </w:pPr>
      <w:r>
        <w:rPr>
          <w:rStyle w:val="style16"/>
        </w:rPr>
        <w:t>- физическое лицо, действующее от имени этого физического лица на основании закона.</w:t>
      </w:r>
    </w:p>
    <w:p>
      <w:pPr>
        <w:pStyle w:val="style0"/>
        <w:jc w:val="both"/>
      </w:pPr>
      <w:r>
        <w:rPr>
          <w:rStyle w:val="style16"/>
        </w:rPr>
        <w:t>Заявление от имени юридического лица, включенного в Список, также должно содержать следующие сведения:</w:t>
      </w:r>
    </w:p>
    <w:p>
      <w:pPr>
        <w:pStyle w:val="style0"/>
        <w:jc w:val="both"/>
      </w:pPr>
      <w:r>
        <w:rPr>
          <w:rStyle w:val="style16"/>
        </w:rPr>
        <w:t>- полное фирменное наименование, место нахождения и данные о государственной регистрации юридического лица;</w:t>
      </w:r>
    </w:p>
    <w:p>
      <w:pPr>
        <w:pStyle w:val="style0"/>
        <w:jc w:val="both"/>
      </w:pPr>
      <w:r>
        <w:rPr>
          <w:rStyle w:val="style16"/>
        </w:rPr>
        <w:t>- платежные (банковские) реквизиты юридического лица (для возврата денежных средств, переданных в оплату дополнительных акций Эмитента, в случаях, предусмотренных настоящим решением о дополнительном выпуске ценных бумаг);</w:t>
      </w:r>
    </w:p>
    <w:p>
      <w:pPr>
        <w:pStyle w:val="style0"/>
        <w:jc w:val="both"/>
      </w:pPr>
      <w:r>
        <w:rPr>
          <w:rStyle w:val="style16"/>
        </w:rPr>
        <w:t>- контактный телефон.</w:t>
      </w:r>
    </w:p>
    <w:p>
      <w:pPr>
        <w:pStyle w:val="style0"/>
        <w:jc w:val="both"/>
      </w:pPr>
      <w:r>
        <w:rPr>
          <w:rStyle w:val="style16"/>
        </w:rPr>
        <w:t>Заявление от имени физического лица, включенного в Список, также должно содержать следующие сведения:</w:t>
      </w:r>
    </w:p>
    <w:p>
      <w:pPr>
        <w:pStyle w:val="style0"/>
        <w:jc w:val="both"/>
      </w:pPr>
      <w:r>
        <w:rPr>
          <w:rStyle w:val="style16"/>
        </w:rPr>
        <w:t>- фамилию, имя, отчество, место жительства и данные документа, удостоверяющего личность физического лица;</w:t>
      </w:r>
    </w:p>
    <w:p>
      <w:pPr>
        <w:pStyle w:val="style0"/>
        <w:jc w:val="both"/>
      </w:pPr>
      <w:r>
        <w:rPr>
          <w:rStyle w:val="style16"/>
        </w:rPr>
        <w:t>- платежные (банковские) реквизиты физического лица (для возврата денежных средств, переданных в оплату дополнительных акций Эмитента, в случаях, предусмотренных настоящим решением о дополнительном выпуске ценных бумаг);</w:t>
      </w:r>
    </w:p>
    <w:p>
      <w:pPr>
        <w:pStyle w:val="style0"/>
        <w:jc w:val="both"/>
      </w:pPr>
      <w:r>
        <w:rPr>
          <w:rStyle w:val="style16"/>
        </w:rPr>
        <w:t>- контактный телефон.</w:t>
      </w:r>
    </w:p>
    <w:p>
      <w:pPr>
        <w:pStyle w:val="style0"/>
        <w:jc w:val="both"/>
      </w:pPr>
      <w:r>
        <w:rPr>
          <w:rStyle w:val="style16"/>
        </w:rPr>
        <w:t>Каждое Заявление должно быть подписано лицом, включенным в Список, или его должным образом уполномоченным представителем.</w:t>
      </w:r>
    </w:p>
    <w:p>
      <w:pPr>
        <w:pStyle w:val="style0"/>
        <w:jc w:val="both"/>
      </w:pPr>
      <w:r>
        <w:rPr>
          <w:rStyle w:val="style16"/>
        </w:rPr>
        <w:t>Полное фирменное наименование (фамилия, имя, отчество), место нахождения (место жительства) и данные о государственной регистрации юридического лица (данные документа, удостоверяющего личность физического лица), указываемые в Заявлении, должны совпадать с информацией лицевого счета соответствующего зарегистрированного лица в реестре владельцев именных ценных бумаг Эмитента.</w:t>
      </w:r>
    </w:p>
    <w:p>
      <w:pPr>
        <w:pStyle w:val="style0"/>
        <w:jc w:val="both"/>
      </w:pPr>
      <w:r>
        <w:rPr>
          <w:rStyle w:val="style16"/>
        </w:rPr>
        <w:t>К каждому Заявлению должен быть приложен документ (документы), подтверждающий оплату приобретаемых дополнительных акций Эмитента. В случае оплаты приобретаемых акций путем перечисления денежных средств по платежным (банковским) реквизитам Эмитента таким документом является платежное поручение (иной аналогичный документ, выдаваемый банком), содержащее отметку банка об исполнении платежа. В случае оплаты приобретаемых акций путем зачета денежных требований к Эмитенту таким документом является заявление о зачете встречных денежных требований, подписанное лицом, включенным в Список, или его должным образом уполномоченным представителем и содержащее следующие сведения:</w:t>
      </w:r>
    </w:p>
    <w:p>
      <w:pPr>
        <w:pStyle w:val="style0"/>
        <w:jc w:val="both"/>
      </w:pPr>
      <w:r>
        <w:rPr>
          <w:rStyle w:val="style16"/>
        </w:rPr>
        <w:t>В отношении юридического лица, включенного в Список, которое оплачивает приобретаемые акции путем зачета денежных требований к Эмитенту:</w:t>
      </w:r>
    </w:p>
    <w:p>
      <w:pPr>
        <w:pStyle w:val="style0"/>
        <w:jc w:val="both"/>
      </w:pPr>
      <w:r>
        <w:rPr>
          <w:rStyle w:val="style16"/>
        </w:rPr>
        <w:t>- полное фирменное наименование, место нахождения и данные о государственной регистрации юридического лица;</w:t>
      </w:r>
    </w:p>
    <w:p>
      <w:pPr>
        <w:pStyle w:val="style0"/>
        <w:jc w:val="both"/>
      </w:pPr>
      <w:r>
        <w:rPr>
          <w:rStyle w:val="style16"/>
        </w:rPr>
        <w:t>- основания возникновения у юридического лица денежных требований к Эмитенту, которые юридическое лицо предъявляет к зачету во исполнение своих денежных обязательств перед Эмитентом по оплате приобретаемых акций;</w:t>
      </w:r>
    </w:p>
    <w:p>
      <w:pPr>
        <w:pStyle w:val="style0"/>
        <w:jc w:val="both"/>
      </w:pPr>
      <w:r>
        <w:rPr>
          <w:rStyle w:val="style16"/>
        </w:rPr>
        <w:t>- </w:t>
      </w:r>
      <w:r>
        <w:rPr>
          <w:b/>
          <w:i/>
        </w:rPr>
        <w:t xml:space="preserve">сумма денежных требований по каждому такому основанию, которые юридическое лицо предъявляет Эмитенту к зачету </w:t>
      </w:r>
      <w:r>
        <w:rPr>
          <w:rStyle w:val="style16"/>
        </w:rPr>
        <w:t>во исполнение своих денежных обязательств перед Эмитентом по оплате приобретаемых акций.</w:t>
      </w:r>
    </w:p>
    <w:p>
      <w:pPr>
        <w:pStyle w:val="style0"/>
        <w:jc w:val="both"/>
      </w:pPr>
      <w:r>
        <w:rPr>
          <w:rStyle w:val="style16"/>
        </w:rPr>
        <w:t>В отношении физического лица, включенного в Список, которое оплачивает приобретаемые акции путем зачета денежных требований к Эмитенту:</w:t>
      </w:r>
    </w:p>
    <w:p>
      <w:pPr>
        <w:pStyle w:val="style0"/>
        <w:jc w:val="both"/>
      </w:pPr>
      <w:r>
        <w:rPr>
          <w:rStyle w:val="style16"/>
        </w:rPr>
        <w:t>- фамилия, имя, отчество, место жительства и данные документа, удостоверяющего личность физического лица;</w:t>
      </w:r>
    </w:p>
    <w:p>
      <w:pPr>
        <w:pStyle w:val="style0"/>
        <w:jc w:val="both"/>
      </w:pPr>
      <w:r>
        <w:rPr>
          <w:rStyle w:val="style16"/>
        </w:rPr>
        <w:t>- основания возникновения у физического лица денежных требований к Эмитенту, которые физическое лицо предъявляет к зачету во исполнение своих денежных обязательств перед Эмитентом по оплате приобретаемых акций;</w:t>
      </w:r>
    </w:p>
    <w:p>
      <w:pPr>
        <w:pStyle w:val="style0"/>
        <w:jc w:val="both"/>
      </w:pPr>
      <w:r>
        <w:rPr>
          <w:rStyle w:val="style16"/>
        </w:rPr>
        <w:t>- </w:t>
      </w:r>
      <w:r>
        <w:rPr>
          <w:b/>
          <w:i/>
        </w:rPr>
        <w:t xml:space="preserve">сумма денежных требований по каждому такому основанию, которые </w:t>
      </w:r>
      <w:r>
        <w:rPr>
          <w:rStyle w:val="style16"/>
        </w:rPr>
        <w:t>физическое</w:t>
      </w:r>
      <w:r>
        <w:rPr>
          <w:b/>
          <w:i/>
        </w:rPr>
        <w:t xml:space="preserve"> лицо предъявляет Эмитенту к зачету </w:t>
      </w:r>
      <w:r>
        <w:rPr>
          <w:rStyle w:val="style16"/>
        </w:rPr>
        <w:t>во исполнение своих денежных обязательств перед Эмитентом по оплате приобретаемых акций.</w:t>
      </w:r>
    </w:p>
    <w:p>
      <w:pPr>
        <w:pStyle w:val="style0"/>
        <w:jc w:val="both"/>
      </w:pPr>
      <w:r>
        <w:rPr>
          <w:rStyle w:val="style16"/>
        </w:rPr>
        <w:t>В случае представления Эмитенту документов и/или подписания документов, представляемых Эмитенту, от имени лица, включенного в Список, его должным образом уполномоченным представителем Эмитенту должны быть предоставлены оригиналы или заверенные в предусмотренном законодательством Российской Федерации порядке копии документов, подтверждающих соответствующие полномочия должным образом уполномоченного представителя.</w:t>
      </w:r>
    </w:p>
    <w:p>
      <w:pPr>
        <w:pStyle w:val="style0"/>
        <w:jc w:val="both"/>
      </w:pPr>
      <w:r>
        <w:rPr>
          <w:rStyle w:val="style16"/>
        </w:rPr>
        <w:t>Сроком, в течение которого Эмитенту по указанному адресу от лиц, включенных в Список и желающих реализовать свое преимущественное право приобретения дополнительных акций Эмитента, должны поступить Заявления с приложенными документами об оплате приобретаемых дополнительных акций, является период начиная с одиннадцатого дня с даты получения Эмитентом уведомления регистрирующего органа о государственной регистрации дополнительного выпуска ценных бумаг и заканчивая пятьдесят пятым днем с даты получения Эмитентом уведомления регистрирующего органа о государственной регистрации дополнительного выпуска ценных бумаг включительно. Включенные в Список лица, Заявления с приложенными документами об оплате приобретаемых дополнительных акций от которых не поступили Эмитенту в указанный срок по обозначенному адресу, считаются отказавшимися от реализации своего преимущественного права приобретения дополнительных акций Эмитента.</w:t>
      </w:r>
    </w:p>
    <w:p>
      <w:pPr>
        <w:pStyle w:val="style0"/>
        <w:jc w:val="both"/>
      </w:pPr>
      <w:r>
        <w:rPr>
          <w:rStyle w:val="style16"/>
        </w:rPr>
        <w:t>Дата оплаты акций при реализации преимущественного права приобретения дополнительных акций определяется:</w:t>
      </w:r>
    </w:p>
    <w:p>
      <w:pPr>
        <w:pStyle w:val="style0"/>
        <w:jc w:val="both"/>
      </w:pPr>
      <w:r>
        <w:rPr>
          <w:rStyle w:val="style16"/>
        </w:rPr>
        <w:t>- при оплате акций путем перечисления Эмитенту денежных средств по безналичному расчету – как дата зачисления на расчетный счет Эмитента соответствующих денежных средств;</w:t>
      </w:r>
    </w:p>
    <w:p>
      <w:pPr>
        <w:pStyle w:val="style0"/>
        <w:jc w:val="both"/>
      </w:pPr>
      <w:r>
        <w:rPr>
          <w:rStyle w:val="style16"/>
        </w:rPr>
        <w:t>- при оплате акций путем зачета денежных требований к Эмитенту – как дата получения Эмитентом заявления о зачете встречных требований.</w:t>
      </w:r>
    </w:p>
    <w:p>
      <w:pPr>
        <w:pStyle w:val="style0"/>
        <w:jc w:val="both"/>
      </w:pPr>
      <w:r>
        <w:rPr>
          <w:rStyle w:val="style16"/>
        </w:rPr>
        <w:t xml:space="preserve">В случае, если размер денежных средств, уплаченных Эмитенту за приобретение акций согласно прилагаемому к Заявлению документу (документам) об оплате приобретаемых акций, не соответствует размеру денежных средств, подлежащих уплате в соответствии с заявленным к приобретению количеством акций, указанным в данном Заявлении, поступившие документы рассматриваются Эмитентом как намерение соответствующего лица приобрести количество акций, определяемое согласно документу (документам) об оплате приобретаемых акций, прилагаемому к Заявлению (намерение приобрести фактически оплаченное количество акций). </w:t>
      </w:r>
    </w:p>
    <w:p>
      <w:pPr>
        <w:pStyle w:val="style0"/>
        <w:jc w:val="both"/>
      </w:pPr>
      <w:r>
        <w:rPr>
          <w:rStyle w:val="style16"/>
        </w:rPr>
        <w:t>В случае, если количество акций, оплаченное согласно прилагаемому к Заявлению документу (документам) об оплате приобретаемых акций, превышает максимальное количество акций, определенное в соответствии с формулой, указанной в настоящем решении о дополнительном выпуске ценных бумаг, поступившие документы рассматриваются Эмитентом как намерение соответствующего лица приобрести данное максимальное количество акций; денежные средства, зачисленные на расчетный счет Эмитента в оплату количества акций, превышающего максимальное количество акций, определенное в соответствии с указанной формулой, подлежат возврату плательщику, а в случае оплаты акций путем зачета денежных требований к Эмитенту – взаимные денежные обязательства между Эмитентом и приобретателем акций, размер которых соответствует стоимости количества акций, превышающего максимальное количество акций, определенное в соответствии с указанной формулой, считаются непогашенными.</w:t>
      </w:r>
    </w:p>
    <w:p>
      <w:pPr>
        <w:pStyle w:val="style0"/>
        <w:jc w:val="both"/>
      </w:pPr>
      <w:r>
        <w:rPr>
          <w:rStyle w:val="style16"/>
        </w:rPr>
        <w:t>В случае, если Эмитенту от одного лица, включенного в Список, поступило в установленном порядке несколько Заявлений с приложенными документами об оплате приобретаемых акций, поступившие документы рассматриваются Эмитентом как намерение соответствующего лица приобрести суммарное количество акций, оплаченных согласно всем документам об оплате приобретаемых акций, полученных Эмитентом от данного лица.</w:t>
      </w:r>
    </w:p>
    <w:p>
      <w:pPr>
        <w:pStyle w:val="style0"/>
        <w:jc w:val="both"/>
      </w:pPr>
      <w:r>
        <w:rPr>
          <w:rStyle w:val="style16"/>
        </w:rPr>
        <w:t>В случае, если количество акций, оплаченное согласно прилагаемому к Заявлению документу (документам) об оплате приобретаемых акций, является числом с дробной частью, поступившие документы рассматриваются Эмитентом как намерение соответствующего лица приобрести ближайшее к числу акций, оплаченных согласно прилагаемому документу (документам) об оплате приобретаемых акций, меньшее целое число акций; денежные средства, зачисленные на расчетный счет Эмитента в оплату дробной части акции, подлежат возврату плательщику, а в случае оплаты акций путем зачета денежных требований к Эмитенту – взаимные денежные обязательства между Эмитентом и приобретателем акций, размер которых соответствует стоимости дробной части акции, считаются непогашенными.</w:t>
      </w:r>
    </w:p>
    <w:p>
      <w:pPr>
        <w:pStyle w:val="style0"/>
        <w:jc w:val="both"/>
      </w:pPr>
      <w:r>
        <w:rPr>
          <w:rStyle w:val="style16"/>
        </w:rPr>
        <w:t>В случае, если количество акций, оплаченное согласно прилагаемому к Заявлению документу (документам) об оплате приобретаемых акций, является дробным числом меньше единицы, поступившие документы не рассматриваются Эмитентом как намерение соответствующего лица реализовать свое преимущественное право приобретения дополнительных акций Эмитента, при этом денежные средства, зачисленные на расчетный счет Эмитента в оплату дробной части акции, подлежат возврату плательщику, а в случае оплаты дробной части акции путем зачета денежных требований к Эмитенту – взаимные денежные обязательства между Эмитентом и приобретателем акций, размер которых соответствует стоимости дробной части акции, считаются непогашенными.</w:t>
      </w:r>
    </w:p>
    <w:p>
      <w:pPr>
        <w:pStyle w:val="style0"/>
        <w:jc w:val="both"/>
      </w:pPr>
      <w:r>
        <w:rPr>
          <w:rStyle w:val="style16"/>
        </w:rPr>
        <w:t>Договор, на основании которого осуществляется размещение дополнительных акций Эмитента лицу, реализующему свое преимущественное право их приобретения, считается договором купли-продажи, заключаемым посредством направления Эмитентом оферты (предложения заключать договоры), которой является сообщение о возможности осуществления преимущественного права приобретения дополнительных акций Эмитента, направляемое (вручаемое) каждому лицу, включенному в Список, и ее акцепта (принятия предложения включенным в Список лицом, желающим реализовать свое преимущественное право приобретения дополнительных акций Эмитента), которым является Заявление с приложенным документом (документами) об оплате приобретаемых акций, при этом датой заключения такого договора признается дата получения Эмитентом в установленном порядке Заявления с приложенным документом (документами) об оплате приобретаемых акций, а если Заявления с приложенными документами об оплате приобретаемых акций были получены Эмитентом до даты начала размещения ценных бумаг, датой заключения соответствующих договоров признается дата начала размещения ценных бумаг, определяемая в соответствии с настоящим решением о дополнительном выпуске ценных бумаг.</w:t>
      </w:r>
    </w:p>
    <w:p>
      <w:pPr>
        <w:pStyle w:val="style0"/>
        <w:jc w:val="both"/>
      </w:pPr>
      <w:r>
        <w:rPr>
          <w:rStyle w:val="style16"/>
        </w:rPr>
        <w:t>Эмитент осуществляет перерегистрацию акций, приобретаемых при осуществлении преимущественного права приобретения дополнительных акций Эмитента, в реестре владельцев именных ценных бумаг Эмитента на лицевой счет лица, реализующего свое преимущественное право приобретения дополнительных акций Эмитента, в период начиная с пятьдесят шестого дня с даты получения Эмитентом уведомления регистрирующего органа о государственной регистрации дополнительного выпуска ценных бумаг и заканчивая шестидесятым днем с даты получения Эмитентом уведомления регистрирующего органа о государственной регистрации дополнительного выпуска ценных бумаг включительно. С момента внесения в реестр владельцев именных ценных бумаг Эмитента приходной записи по лицевому счету лица, реализующего свое преимущественное право приобретения дополнительных акций Эмитента, акции дополнительного выпуска, зачисленные на указанный лицевой счет, считаются размещенными.</w:t>
      </w:r>
    </w:p>
    <w:p>
      <w:pPr>
        <w:pStyle w:val="style0"/>
        <w:jc w:val="both"/>
      </w:pPr>
      <w:r>
        <w:rPr>
          <w:rStyle w:val="style16"/>
        </w:rPr>
        <w:t>Эмитент осуществляет возврат денежных средств в случаях, предусмотренных настоящим решением о дополнительном выпуске ценных бумаг, не позднее 30 (Тридцать) дней после окончания срока размещения ценных бумаг, установленного настоящим решением о дополнительном выпуске ценных бумаг. Возврат осуществляется путем перечисления безналичным расчетом денежных средств по платежным (банковским) реквизитам соответствующего плательщика. Обязательства Эмитента по возврату денежных средств в случаях, предусмотренных настоящим решением о дополнительном выпуске ценных бумаг, признаются выполненными в момент списания соответствующей суммы денежных средств с расчетного счета Эмитента.</w:t>
      </w:r>
    </w:p>
    <w:p>
      <w:pPr>
        <w:pStyle w:val="style0"/>
        <w:jc w:val="both"/>
      </w:pPr>
      <w:r>
        <w:rPr>
          <w:rStyle w:val="style16"/>
        </w:rPr>
        <w:t>В шестидесятый день с даты получения Эмитентом уведомления регистрирующего органа о государственной регистрации дополнительного выпуска ценных бумаг Эмитент подводит итоги осуществления преимущественного права приобретения дополнительных акций Эмитента путем утверждения генеральным директором Эмитента отчета об итогах осуществления преимущественного права приобретения дополнительных акций, который содержит следующую информацию:</w:t>
      </w:r>
    </w:p>
    <w:p>
      <w:pPr>
        <w:pStyle w:val="style0"/>
        <w:jc w:val="both"/>
      </w:pPr>
      <w:r>
        <w:rPr>
          <w:rStyle w:val="style16"/>
        </w:rPr>
        <w:t>-</w:t>
      </w:r>
      <w:r>
        <w:rPr>
          <w:rStyle w:val="style16"/>
          <w:lang w:val="en-US"/>
        </w:rPr>
        <w:t> </w:t>
      </w:r>
      <w:r>
        <w:rPr>
          <w:rStyle w:val="style16"/>
        </w:rPr>
        <w:t>государственный регистрационный номер дополнительного выпуска ценных бумаг Эмитента;</w:t>
      </w:r>
    </w:p>
    <w:p>
      <w:pPr>
        <w:pStyle w:val="style0"/>
        <w:jc w:val="both"/>
      </w:pPr>
      <w:r>
        <w:rPr>
          <w:rStyle w:val="style16"/>
        </w:rPr>
        <w:t>-</w:t>
      </w:r>
      <w:r>
        <w:rPr>
          <w:rStyle w:val="style16"/>
          <w:lang w:val="en-US"/>
        </w:rPr>
        <w:t> </w:t>
      </w:r>
      <w:r>
        <w:rPr>
          <w:rStyle w:val="style16"/>
        </w:rPr>
        <w:t>дата государственной регистрации дополнительного выпуска ценных бумаг Эмитента и орган, ее осуществивший;</w:t>
      </w:r>
    </w:p>
    <w:p>
      <w:pPr>
        <w:pStyle w:val="style0"/>
        <w:jc w:val="both"/>
      </w:pPr>
      <w:r>
        <w:rPr>
          <w:rStyle w:val="style16"/>
        </w:rPr>
        <w:t>- дата получения Эмитентом уведомления регистрирующего органа о государственной регистрации дополнительного выпуска ценных бумаг Эмитента;</w:t>
      </w:r>
    </w:p>
    <w:p>
      <w:pPr>
        <w:pStyle w:val="style0"/>
        <w:jc w:val="both"/>
      </w:pPr>
      <w:r>
        <w:rPr>
          <w:rStyle w:val="style16"/>
        </w:rPr>
        <w:t>- вид, категория и количество ценных бумаг Эмитента дополнительного выпуска;</w:t>
      </w:r>
    </w:p>
    <w:p>
      <w:pPr>
        <w:pStyle w:val="style0"/>
        <w:jc w:val="both"/>
      </w:pPr>
      <w:r>
        <w:rPr>
          <w:rStyle w:val="style16"/>
        </w:rPr>
        <w:t>- количество акций Эмитента дополнительного выпуска, приобретенных (полностью оплаченных и зачисленных на лицевые счета приобретателей в реестре владельцев именных ценных бумаг Эмитента) в процессе осуществления преимущественного права приобретения дополнительных акций Эмитента;</w:t>
      </w:r>
    </w:p>
    <w:p>
      <w:pPr>
        <w:pStyle w:val="style0"/>
        <w:jc w:val="both"/>
      </w:pPr>
      <w:r>
        <w:rPr>
          <w:rStyle w:val="style16"/>
        </w:rPr>
        <w:t>- количество акций Эмитента дополнительного выпуска, оставшихся неразмещенными по итогам осуществления преимущественного права приобретения дополнительных акций Эмитента.</w:t>
      </w:r>
    </w:p>
    <w:p>
      <w:pPr>
        <w:pStyle w:val="style0"/>
        <w:jc w:val="both"/>
      </w:pPr>
      <w:r>
        <w:rPr>
          <w:rStyle w:val="style16"/>
        </w:rPr>
        <w:t xml:space="preserve">После утверждения генеральным директором Эмитента отчета об итогах осуществления преимущественного права приобретения дополнительных акций, но не позднее дня его утверждения, Эмитент опубликовывает текст отчета об итогах осуществления преимущественного права приобретения дополнительных акций на странице в сети Интернет </w:t>
      </w:r>
      <w:hyperlink r:id="rId2">
        <w:r>
          <w:rPr>
            <w:rStyle w:val="style16"/>
            <w:rStyle w:val="style18"/>
          </w:rPr>
          <w:t>http://www.disclosure.ru/issuer/6320008240/</w:t>
        </w:r>
      </w:hyperlink>
      <w:r>
        <w:rPr>
          <w:rStyle w:val="style16"/>
        </w:rPr>
        <w:t>, а также вместе с сопроводительным письмом предоставляет данный отчет в канцелярию открытого акционерного общества «АВТОВАЗ». В сопроводительном письме указывается срок, в течение которого должным образом уполномоченные представители Эмитента и ОАО «АВТОВАЗ» должны согласовать и заключить договор купли-продажи акций, оставшихся неразмещенными по итогам осуществления преимущественного права приобретения дополнительных акций Эмитента.</w:t>
      </w:r>
    </w:p>
    <w:p>
      <w:pPr>
        <w:pStyle w:val="style0"/>
        <w:jc w:val="both"/>
      </w:pPr>
      <w:r>
        <w:rPr>
          <w:rStyle w:val="style16"/>
        </w:rPr>
        <w:t>Договор купли-продажи акций, оставшихся неразмещенными по итогам осуществления преимущественного права приобретения дополнительных акций Эмитента, должен быть заключен Эмитентом и ОАО «АВТОВАЗ» в течение периода начиная с шестьдесят первого дня с даты получения Эмитентом уведомления регистрирующего органа о государственной регистрации дополнительного выпуска ценных бумаг и заканчивая шестьдесят пятым днем с даты получения Эмитентом уведомления регистрирующего органа о государственной регистрации дополнительного выпуска ценных бумаг включительно. Договор заключается в простой письменной форме путем составления единого документа, подписываемого должным образом уполномоченными представителями Эмитента и ОАО «АВТОВАЗ». Заключение договора может осуществляться путем его одновременного подписания должным образом уполномоченными представителями сторон на их совместной встрече или путем обмена подписанными экземплярами договора, при этом датой заключения договора является дата его подписания должным образом уполномоченным представителем последней из сторон.</w:t>
      </w:r>
    </w:p>
    <w:p>
      <w:pPr>
        <w:pStyle w:val="style0"/>
        <w:jc w:val="both"/>
      </w:pPr>
      <w:r>
        <w:rPr>
          <w:rStyle w:val="style16"/>
        </w:rPr>
        <w:t>Оплата приобретаемых ОАО «АВТОВАЗ» акций осуществляется после заключения договора купли-продажи акций, оставшихся неразмещенными по итогам осуществления преимущественного права приобретения дополнительных акций Эмитента, и в срок не позднее 75 (Семьдесят пять) дней с даты получения Эмитентом уведомления регистрирующего органа о государственной регистрации дополнительного выпуска ценных бумаг.</w:t>
      </w:r>
    </w:p>
    <w:p>
      <w:pPr>
        <w:pStyle w:val="style0"/>
        <w:jc w:val="both"/>
      </w:pPr>
      <w:r>
        <w:rPr>
          <w:rStyle w:val="style16"/>
        </w:rPr>
        <w:t>В случае оплаты открытым акционерным обществом «АВТОВАЗ» акций путем зачета денежных требований ОАО «АВТОВАЗ» предоставляет Эмитенту заявление о зачете встречных денежных требований, подписанное должным образом уполномоченным представителем ОАО «АВТОВАЗ» и содержащее следующие сведения:</w:t>
      </w:r>
    </w:p>
    <w:p>
      <w:pPr>
        <w:pStyle w:val="style0"/>
        <w:jc w:val="both"/>
      </w:pPr>
      <w:r>
        <w:rPr>
          <w:rStyle w:val="style16"/>
        </w:rPr>
        <w:t>- полное фирменное наименование, место нахождения и данные о государственной регистрации ОАО «АВТОВАЗ»;</w:t>
      </w:r>
    </w:p>
    <w:p>
      <w:pPr>
        <w:pStyle w:val="style0"/>
        <w:jc w:val="both"/>
      </w:pPr>
      <w:r>
        <w:rPr>
          <w:rStyle w:val="style16"/>
        </w:rPr>
        <w:t>- основания возникновения денежных требований к Эмитенту, которые ОАО «АВТОВАЗ» предъявляет к зачету во исполнение своих денежных обязательств перед Эмитентом по оплате приобретаемых акций;</w:t>
      </w:r>
    </w:p>
    <w:p>
      <w:pPr>
        <w:pStyle w:val="style0"/>
        <w:jc w:val="both"/>
      </w:pPr>
      <w:r>
        <w:rPr>
          <w:rStyle w:val="style16"/>
        </w:rPr>
        <w:t>- сумма денежных требований по каждому такому основанию, которые ОАО «АВТОВАЗ» предъявляет Эмитенту к зачету во исполнение своих денежных обязательств перед Эмитентом по оплате приобретаемых акций.</w:t>
      </w:r>
    </w:p>
    <w:p>
      <w:pPr>
        <w:pStyle w:val="style0"/>
        <w:jc w:val="both"/>
      </w:pPr>
      <w:r>
        <w:rPr>
          <w:rStyle w:val="style16"/>
        </w:rPr>
        <w:t>Дата оплаты приобретаемых ОАО «АВТОВАЗ» акций, оставшихся неразмещенными по итогам осуществления преимущественного права приобретения дополнительных акций, определяется:</w:t>
      </w:r>
    </w:p>
    <w:p>
      <w:pPr>
        <w:pStyle w:val="style0"/>
        <w:jc w:val="both"/>
      </w:pPr>
      <w:r>
        <w:rPr>
          <w:rStyle w:val="style16"/>
        </w:rPr>
        <w:t>- при оплате акций путем перечисления Эмитенту денежных средств по безналичному расчету – как дата зачисления на расчетный счет Эмитента соответствующих денежных средств;</w:t>
      </w:r>
    </w:p>
    <w:p>
      <w:pPr>
        <w:pStyle w:val="style0"/>
        <w:jc w:val="both"/>
      </w:pPr>
      <w:r>
        <w:rPr>
          <w:rStyle w:val="style16"/>
        </w:rPr>
        <w:t>- при оплате акций путем зачета денежных требований к Эмитенту – как дата получения Эмитентом заявления о зачете встречных требований.</w:t>
      </w:r>
    </w:p>
    <w:p>
      <w:pPr>
        <w:pStyle w:val="style0"/>
        <w:jc w:val="both"/>
      </w:pPr>
      <w:r>
        <w:rPr>
          <w:rStyle w:val="style16"/>
        </w:rPr>
        <w:t>Эмитент осуществляет перерегистрацию акций, приобретаемых открытым акционерным обществом «АВТОВАЗ» по договору купли-продажи акций, оставшихся неразмещенными по итогам осуществления преимущественного права приобретения дополнительных акций Эмитента, в реестре владельцев именных ценных бумаг Эмитента на лицевой счет ОАО «АВТОВАЗ» в период начиная с семьдесят шестого дня с даты получения Эмитентом уведомления регистрирующего органа о государственной регистрации дополнительного выпуска ценных бумаг и заканчивая восьмидесятым днем с даты получения Эмитентом уведомления регистрирующего органа о государственной регистрации дополнительного выпуска ценных бумаг включительно. С момента внесения в реестр владельцев именных ценных бумаг Эмитента приходной записи по лицевому счету ОАО «АВТОВАЗ» акции дополнительного выпуска, зачисленные на указанный лицевой счет, считаются размещенными.</w:t>
      </w:r>
    </w:p>
    <w:p>
      <w:pPr>
        <w:pStyle w:val="style41"/>
        <w:jc w:val="both"/>
      </w:pPr>
      <w:r>
        <w:rPr>
          <w:rStyle w:val="style16"/>
          <w:i w:val="false"/>
          <w:sz w:val="23"/>
        </w:rPr>
        <w:t>При размещении ценных бумаг предоставляется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возможность иного преимущественного приобретения размещаемых ценных бумаг не предоставляется.</w:t>
      </w:r>
    </w:p>
    <w:p>
      <w:pPr>
        <w:pStyle w:val="style41"/>
        <w:jc w:val="both"/>
      </w:pPr>
      <w:r>
        <w:rPr>
          <w:rStyle w:val="style16"/>
          <w:i w:val="false"/>
          <w:sz w:val="23"/>
        </w:rPr>
        <w:t>Ценные бумаги являются именными, ведение реестра владельцев которых осуществляется регистратором.</w:t>
      </w:r>
    </w:p>
    <w:p>
      <w:pPr>
        <w:pStyle w:val="style41"/>
        <w:jc w:val="both"/>
      </w:pPr>
      <w:r>
        <w:rPr>
          <w:rStyle w:val="style16"/>
          <w:i w:val="false"/>
          <w:sz w:val="23"/>
        </w:rPr>
        <w:t>Лицо, которому Эмитент выдает (направляет) передаточное распоряжение, являющееся основанием для внесения приходной записи по лицевому счету первого владельца (регистратор, первый владелец), и иные условия выдачи передаточного распоряжения:</w:t>
      </w:r>
    </w:p>
    <w:p>
      <w:pPr>
        <w:pStyle w:val="style0"/>
        <w:jc w:val="both"/>
      </w:pPr>
      <w:r>
        <w:rPr>
          <w:rStyle w:val="style16"/>
        </w:rPr>
        <w:t>Перерегистрация акций, приобретаемых первыми владельцами (лицами, реализующими свое преимущественное право приобретения дополнительных акций Эмитента, ОАО «АВТОВАЗ»), в реестре владельцев именных ценных бумаг Эмитента на лицевой счет первого владельца осуществляется путем предоставления должным образом уполномоченным представителем Эмитента в соответствии с порядком, предусмотренным законодательством Российской Федерации, регистратору Эмитента – Закрытому акционерному обществу «Регистраторское общество «СТАТУС» оформленного надлежащим образом передаточного распоряжения. Передаточное распоряжение предоставляется в Тольяттинский филиал Закрытого акционерного общества «Регистраторское общество «СТАТУС». Указываемое в передаточном распоряжении количество акций, подлежащих перерегистрации в реестре владельцев именных ценных бумаг Эмитента, должно совпадать с целым количеством полностью оплаченных акций.</w:t>
      </w:r>
    </w:p>
    <w:p>
      <w:pPr>
        <w:pStyle w:val="style0"/>
        <w:jc w:val="both"/>
      </w:pPr>
      <w:r>
        <w:rPr>
          <w:rStyle w:val="style16"/>
        </w:rPr>
        <w:t xml:space="preserve">Эмитент осуществляет перерегистрацию акций, приобретаемых при осуществлении преимущественного права приобретения дополнительных акций Эмитента, в реестре владельцев именных ценных бумаг Эмитента на лицевой счет лица, реализующего свое преимущественное право приобретения дополнительных акций Эмитента, в период начиная с пятьдесят шестого дня с даты получения Эмитентом уведомления регистрирующего органа о государственной регистрации дополнительного выпуска ценных бумаг и заканчивая шестидесятым днем с даты получения Эмитентом уведомления регистрирующего органа о государственной регистрации дополнительного выпуска ценных бумаг включительно. </w:t>
      </w:r>
    </w:p>
    <w:p>
      <w:pPr>
        <w:pStyle w:val="style0"/>
        <w:jc w:val="both"/>
      </w:pPr>
      <w:r>
        <w:rPr>
          <w:rStyle w:val="style16"/>
        </w:rPr>
        <w:t>Эмитент осуществляет перерегистрацию акций, приобретаемых открытым акционерным обществом «АВТОВАЗ» по договору купли-продажи акций, оставшихся неразмещенными по итогам осуществления преимущественного права приобретения дополнительных акций Эмитента, в реестре владельцев именных ценных бумаг Эмитента на лицевой счет ОАО «АВТОВАЗ» в период начиная с семьдесят шестого дня с даты получения Эмитентом уведомления регистрирующего органа о государственной регистрации дополнительного выпуска ценных бумаг и заканчивая восьмидесятым днем с даты получения Эмитентом уведомления регистрирующего органа о государственной регистрации дополнительного выпуска ценных бумаг включительно.</w:t>
      </w:r>
    </w:p>
    <w:p>
      <w:pPr>
        <w:pStyle w:val="style0"/>
        <w:jc w:val="both"/>
      </w:pPr>
      <w:r>
        <w:rPr>
          <w:rStyle w:val="style16"/>
        </w:rPr>
        <w:t>С момента внесения в реестр владельцев именных ценных бумаг Эмитента приходной записи по лицевому счету первого владельца (лица, реализующего свое преимущественное право приобретения дополнительных акций Эмитента, ОАО «АВТОВАЗ») акции дополнительного выпуска, зачисленные на указанный лицевой счет, считаются размещенными.</w:t>
      </w:r>
    </w:p>
    <w:p>
      <w:pPr>
        <w:pStyle w:val="style0"/>
        <w:spacing w:after="40" w:before="120"/>
        <w:jc w:val="both"/>
      </w:pPr>
      <w:r>
        <w:rPr>
          <w:rStyle w:val="style16"/>
          <w:i w:val="false"/>
          <w:sz w:val="23"/>
        </w:rPr>
        <w:t>Сведения о регистраторе Эмитента:</w:t>
      </w:r>
    </w:p>
    <w:p>
      <w:pPr>
        <w:pStyle w:val="style0"/>
        <w:spacing w:after="0" w:before="20"/>
        <w:jc w:val="both"/>
      </w:pPr>
      <w:r>
        <w:rPr>
          <w:rStyle w:val="style16"/>
          <w:i w:val="false"/>
          <w:sz w:val="23"/>
        </w:rPr>
        <w:t>Полное фирменное наименование:</w:t>
      </w:r>
      <w:r>
        <w:rPr>
          <w:rFonts w:ascii="TimesNewRomanPS-BoldItalicMT" w:cs="TimesNewRomanPS-BoldItalicMT" w:hAnsi="TimesNewRomanPS-BoldItalicMT"/>
          <w:b/>
          <w:bCs/>
          <w:i/>
          <w:iCs/>
        </w:rPr>
        <w:t xml:space="preserve"> </w:t>
      </w:r>
      <w:r>
        <w:rPr>
          <w:rStyle w:val="style16"/>
        </w:rPr>
        <w:t>Закрытое акционерное общество «Регистраторское общество «СТАТУС»</w:t>
      </w:r>
    </w:p>
    <w:p>
      <w:pPr>
        <w:pStyle w:val="style0"/>
        <w:widowControl/>
        <w:spacing w:after="0" w:before="20"/>
      </w:pPr>
      <w:r>
        <w:rPr>
          <w:rStyle w:val="style16"/>
          <w:i w:val="false"/>
          <w:sz w:val="23"/>
        </w:rPr>
        <w:t>Сокращенное фирменное наименование:</w:t>
      </w:r>
      <w:r>
        <w:rPr>
          <w:rStyle w:val="style16"/>
          <w:b w:val="false"/>
          <w:bCs w:val="false"/>
          <w:iCs w:val="false"/>
          <w:sz w:val="23"/>
        </w:rPr>
        <w:t xml:space="preserve"> </w:t>
      </w:r>
      <w:r>
        <w:rPr>
          <w:rStyle w:val="style16"/>
        </w:rPr>
        <w:t>ЗАО «СТАТУС»</w:t>
      </w:r>
    </w:p>
    <w:p>
      <w:pPr>
        <w:pStyle w:val="style0"/>
        <w:widowControl/>
        <w:spacing w:after="0" w:before="20"/>
      </w:pPr>
      <w:r>
        <w:rPr>
          <w:rStyle w:val="style16"/>
          <w:i w:val="false"/>
          <w:sz w:val="23"/>
        </w:rPr>
        <w:t>Место нахождения:</w:t>
      </w:r>
      <w:r>
        <w:rPr>
          <w:rFonts w:ascii="TimesNewRomanPS-BoldItalicMT" w:cs="TimesNewRomanPS-BoldItalicMT" w:hAnsi="TimesNewRomanPS-BoldItalicMT"/>
          <w:b/>
          <w:bCs/>
          <w:i/>
          <w:iCs/>
        </w:rPr>
        <w:t xml:space="preserve"> </w:t>
      </w:r>
      <w:r>
        <w:rPr>
          <w:rStyle w:val="style16"/>
        </w:rPr>
        <w:t>Россия, 109544, г. Москва, ул. Новорогожская, д. 32, стр. 1</w:t>
      </w:r>
    </w:p>
    <w:p>
      <w:pPr>
        <w:pStyle w:val="style0"/>
        <w:widowControl/>
        <w:spacing w:after="0" w:before="20"/>
        <w:jc w:val="both"/>
      </w:pPr>
      <w:r>
        <w:rPr>
          <w:rStyle w:val="style16"/>
          <w:i w:val="false"/>
          <w:sz w:val="23"/>
        </w:rPr>
        <w:t>Адрес для направления корреспонденции:</w:t>
      </w:r>
      <w:r>
        <w:rPr>
          <w:rFonts w:ascii="TimesNewRomanPS-BoldItalicMT" w:cs="TimesNewRomanPS-BoldItalicMT" w:hAnsi="TimesNewRomanPS-BoldItalicMT"/>
          <w:b/>
          <w:bCs/>
          <w:i/>
          <w:iCs/>
        </w:rPr>
        <w:t xml:space="preserve"> </w:t>
      </w:r>
      <w:r>
        <w:rPr>
          <w:rStyle w:val="style16"/>
        </w:rPr>
        <w:t>Россия, 109544, г. Москва, ул. Новорогожская, д. 32, стр. 1</w:t>
      </w:r>
    </w:p>
    <w:p>
      <w:pPr>
        <w:pStyle w:val="style0"/>
        <w:widowControl/>
        <w:spacing w:after="0" w:before="20"/>
      </w:pPr>
      <w:r>
        <w:rPr>
          <w:rStyle w:val="style16"/>
          <w:i w:val="false"/>
          <w:sz w:val="23"/>
        </w:rPr>
        <w:t>Номер лицензии:</w:t>
      </w:r>
      <w:r>
        <w:rPr>
          <w:rStyle w:val="style16"/>
          <w:b w:val="false"/>
          <w:bCs w:val="false"/>
          <w:iCs w:val="false"/>
          <w:sz w:val="23"/>
        </w:rPr>
        <w:t xml:space="preserve"> </w:t>
      </w:r>
      <w:r>
        <w:rPr>
          <w:rStyle w:val="style16"/>
        </w:rPr>
        <w:t>10-000-1-00304</w:t>
      </w:r>
    </w:p>
    <w:p>
      <w:pPr>
        <w:pStyle w:val="style0"/>
        <w:widowControl/>
        <w:spacing w:after="0" w:before="20"/>
      </w:pPr>
      <w:r>
        <w:rPr>
          <w:rStyle w:val="style16"/>
          <w:i w:val="false"/>
          <w:sz w:val="23"/>
        </w:rPr>
        <w:t>Дата выдачи:</w:t>
      </w:r>
      <w:r>
        <w:rPr>
          <w:rFonts w:ascii="TimesNewRomanPS-BoldItalicMT" w:cs="TimesNewRomanPS-BoldItalicMT" w:hAnsi="TimesNewRomanPS-BoldItalicMT"/>
          <w:b/>
          <w:bCs/>
          <w:i/>
          <w:iCs/>
        </w:rPr>
        <w:t xml:space="preserve"> </w:t>
      </w:r>
      <w:r>
        <w:rPr>
          <w:rStyle w:val="style16"/>
        </w:rPr>
        <w:t>12.03.2004</w:t>
      </w:r>
    </w:p>
    <w:p>
      <w:pPr>
        <w:pStyle w:val="style0"/>
        <w:widowControl/>
        <w:spacing w:after="0" w:before="20"/>
      </w:pPr>
      <w:r>
        <w:rPr>
          <w:rStyle w:val="style16"/>
          <w:i w:val="false"/>
          <w:sz w:val="23"/>
        </w:rPr>
        <w:t>Орган, выдавший лицензию:</w:t>
      </w:r>
      <w:r>
        <w:rPr>
          <w:rFonts w:ascii="TimesNewRomanPS-BoldItalicMT" w:cs="TimesNewRomanPS-BoldItalicMT" w:hAnsi="TimesNewRomanPS-BoldItalicMT"/>
          <w:b/>
          <w:bCs/>
          <w:i/>
          <w:iCs/>
        </w:rPr>
        <w:t xml:space="preserve"> </w:t>
      </w:r>
      <w:r>
        <w:rPr>
          <w:rStyle w:val="style16"/>
        </w:rPr>
        <w:t>Федеральная служба по финансовым рынкам</w:t>
      </w:r>
    </w:p>
    <w:p>
      <w:pPr>
        <w:pStyle w:val="style0"/>
        <w:spacing w:after="0" w:before="20"/>
        <w:jc w:val="both"/>
      </w:pPr>
      <w:r>
        <w:rPr>
          <w:rStyle w:val="style16"/>
          <w:i w:val="false"/>
          <w:sz w:val="23"/>
        </w:rPr>
        <w:t>Срок действия:</w:t>
      </w:r>
      <w:r>
        <w:rPr>
          <w:rFonts w:ascii="TimesNewRomanPS-BoldItalicMT" w:cs="TimesNewRomanPS-BoldItalicMT" w:hAnsi="TimesNewRomanPS-BoldItalicMT"/>
          <w:b/>
          <w:bCs/>
          <w:i/>
          <w:iCs/>
        </w:rPr>
        <w:t xml:space="preserve"> </w:t>
      </w:r>
      <w:r>
        <w:rPr>
          <w:rStyle w:val="style16"/>
        </w:rPr>
        <w:t>без ограничения срока действия</w:t>
      </w:r>
    </w:p>
    <w:p>
      <w:pPr>
        <w:pStyle w:val="style0"/>
        <w:widowControl/>
        <w:spacing w:after="0" w:before="20"/>
      </w:pPr>
      <w:r>
        <w:rPr>
          <w:rStyle w:val="style16"/>
          <w:i w:val="false"/>
          <w:sz w:val="23"/>
        </w:rPr>
        <w:t xml:space="preserve">Контактные телефоны: </w:t>
      </w:r>
      <w:r>
        <w:rPr>
          <w:rStyle w:val="style16"/>
        </w:rPr>
        <w:t>(495) 974-83-50, 974-83-45</w:t>
      </w:r>
    </w:p>
    <w:p>
      <w:pPr>
        <w:pStyle w:val="style0"/>
        <w:widowControl/>
        <w:spacing w:after="0" w:before="20"/>
      </w:pPr>
      <w:r>
        <w:rPr>
          <w:rStyle w:val="style16"/>
          <w:i w:val="false"/>
          <w:sz w:val="23"/>
        </w:rPr>
        <w:t xml:space="preserve">Факс: </w:t>
      </w:r>
      <w:r>
        <w:rPr>
          <w:rStyle w:val="style16"/>
        </w:rPr>
        <w:t>(495) 678-71-10</w:t>
      </w:r>
    </w:p>
    <w:p>
      <w:pPr>
        <w:pStyle w:val="style0"/>
        <w:widowControl/>
        <w:spacing w:after="0" w:before="20"/>
      </w:pPr>
      <w:r>
        <w:rPr>
          <w:rStyle w:val="style16"/>
          <w:i w:val="false"/>
          <w:sz w:val="23"/>
        </w:rPr>
        <w:t>Адрес электронной почты:</w:t>
      </w:r>
      <w:r>
        <w:rPr>
          <w:rStyle w:val="style16"/>
          <w:sz w:val="23"/>
        </w:rPr>
        <w:t xml:space="preserve"> </w:t>
      </w:r>
      <w:hyperlink r:id="rId3">
        <w:r>
          <w:rPr>
            <w:rStyle w:val="style16"/>
            <w:rStyle w:val="style18"/>
            <w:sz w:val="23"/>
          </w:rPr>
          <w:t>office@rostatus.ru</w:t>
        </w:r>
      </w:hyperlink>
    </w:p>
    <w:p>
      <w:pPr>
        <w:pStyle w:val="style0"/>
        <w:spacing w:after="40" w:before="120"/>
        <w:jc w:val="both"/>
      </w:pPr>
      <w:r>
        <w:rPr>
          <w:rStyle w:val="style16"/>
          <w:i w:val="false"/>
          <w:sz w:val="23"/>
        </w:rPr>
        <w:t>Сведения о Тольяттинском филиале ЗАО «СТАТУС»:</w:t>
      </w:r>
    </w:p>
    <w:p>
      <w:pPr>
        <w:pStyle w:val="style0"/>
        <w:spacing w:after="0" w:before="20"/>
        <w:jc w:val="both"/>
      </w:pPr>
      <w:r>
        <w:rPr>
          <w:rStyle w:val="style16"/>
          <w:i w:val="false"/>
          <w:sz w:val="23"/>
        </w:rPr>
        <w:t>Полное наименование:</w:t>
      </w:r>
      <w:r>
        <w:rPr>
          <w:rFonts w:ascii="TimesNewRomanPS-BoldItalicMT" w:cs="TimesNewRomanPS-BoldItalicMT" w:hAnsi="TimesNewRomanPS-BoldItalicMT"/>
          <w:b/>
          <w:bCs/>
          <w:i/>
          <w:iCs/>
        </w:rPr>
        <w:t xml:space="preserve"> </w:t>
      </w:r>
      <w:r>
        <w:rPr>
          <w:rStyle w:val="style16"/>
        </w:rPr>
        <w:t>Тольяттинский филиал Закрытого акционерного общества «Регистраторское общество «СТАТУС»</w:t>
      </w:r>
    </w:p>
    <w:p>
      <w:pPr>
        <w:pStyle w:val="style0"/>
        <w:widowControl/>
        <w:spacing w:after="0" w:before="20"/>
      </w:pPr>
      <w:r>
        <w:rPr>
          <w:rStyle w:val="style16"/>
          <w:i w:val="false"/>
          <w:sz w:val="23"/>
        </w:rPr>
        <w:t>Сокращенное наименование:</w:t>
      </w:r>
      <w:r>
        <w:rPr>
          <w:rStyle w:val="style16"/>
          <w:b w:val="false"/>
          <w:bCs w:val="false"/>
          <w:iCs w:val="false"/>
          <w:sz w:val="23"/>
        </w:rPr>
        <w:t xml:space="preserve"> </w:t>
      </w:r>
      <w:r>
        <w:rPr>
          <w:rStyle w:val="style16"/>
        </w:rPr>
        <w:t>Тольяттинский филиал ЗАО «СТАТУС»</w:t>
      </w:r>
    </w:p>
    <w:p>
      <w:pPr>
        <w:pStyle w:val="style0"/>
        <w:widowControl/>
        <w:spacing w:after="0" w:before="20"/>
      </w:pPr>
      <w:r>
        <w:rPr>
          <w:rStyle w:val="style16"/>
          <w:i w:val="false"/>
          <w:sz w:val="23"/>
        </w:rPr>
        <w:t>Место нахождения:</w:t>
      </w:r>
      <w:r>
        <w:rPr>
          <w:rFonts w:ascii="TimesNewRomanPS-BoldItalicMT" w:cs="TimesNewRomanPS-BoldItalicMT" w:hAnsi="TimesNewRomanPS-BoldItalicMT"/>
          <w:b/>
          <w:bCs/>
          <w:i/>
          <w:iCs/>
        </w:rPr>
        <w:t xml:space="preserve"> </w:t>
      </w:r>
      <w:r>
        <w:rPr>
          <w:rStyle w:val="style16"/>
        </w:rPr>
        <w:t>Россия, 445051, Самарская область, г. Тольятти, ул. Фрунзе, д. 6А</w:t>
      </w:r>
    </w:p>
    <w:p>
      <w:pPr>
        <w:pStyle w:val="style0"/>
        <w:widowControl/>
        <w:spacing w:after="0" w:before="20"/>
        <w:jc w:val="both"/>
      </w:pPr>
      <w:r>
        <w:rPr>
          <w:rStyle w:val="style16"/>
          <w:i w:val="false"/>
          <w:sz w:val="23"/>
        </w:rPr>
        <w:t>Адрес для направления корреспонденции:</w:t>
      </w:r>
      <w:r>
        <w:rPr>
          <w:rFonts w:ascii="TimesNewRomanPS-BoldItalicMT" w:cs="TimesNewRomanPS-BoldItalicMT" w:hAnsi="TimesNewRomanPS-BoldItalicMT"/>
          <w:b/>
          <w:bCs/>
          <w:i/>
          <w:iCs/>
        </w:rPr>
        <w:t xml:space="preserve"> </w:t>
      </w:r>
      <w:r>
        <w:rPr>
          <w:rStyle w:val="style16"/>
        </w:rPr>
        <w:t>Россия, 445051, Самарская область, г. Тольятти, ул. Фрунзе, д. 6А</w:t>
      </w:r>
    </w:p>
    <w:p>
      <w:pPr>
        <w:pStyle w:val="style0"/>
        <w:widowControl/>
        <w:spacing w:after="0" w:before="20"/>
      </w:pPr>
      <w:r>
        <w:rPr>
          <w:rStyle w:val="style16"/>
          <w:i w:val="false"/>
          <w:sz w:val="23"/>
        </w:rPr>
        <w:t xml:space="preserve">Контактный телефон: </w:t>
      </w:r>
      <w:r>
        <w:rPr>
          <w:rStyle w:val="style16"/>
        </w:rPr>
        <w:t>(8482) 53-40-36</w:t>
      </w:r>
    </w:p>
    <w:p>
      <w:pPr>
        <w:pStyle w:val="style0"/>
        <w:widowControl/>
        <w:spacing w:after="0" w:before="20"/>
      </w:pPr>
      <w:r>
        <w:rPr>
          <w:rStyle w:val="style16"/>
          <w:i w:val="false"/>
          <w:sz w:val="23"/>
        </w:rPr>
        <w:t xml:space="preserve">Факс: </w:t>
      </w:r>
      <w:r>
        <w:rPr>
          <w:rStyle w:val="style16"/>
        </w:rPr>
        <w:t>(8482) 53-40-23</w:t>
      </w:r>
    </w:p>
    <w:p>
      <w:pPr>
        <w:pStyle w:val="style0"/>
        <w:widowControl/>
        <w:spacing w:after="0" w:before="20"/>
      </w:pPr>
      <w:r>
        <w:rPr>
          <w:rStyle w:val="style16"/>
          <w:i w:val="false"/>
          <w:sz w:val="23"/>
        </w:rPr>
        <w:t>Адрес электронной почты:</w:t>
      </w:r>
      <w:r>
        <w:rPr>
          <w:rStyle w:val="style16"/>
          <w:sz w:val="23"/>
        </w:rPr>
        <w:t xml:space="preserve"> </w:t>
      </w:r>
      <w:r>
        <w:rPr>
          <w:rStyle w:val="style16"/>
        </w:rPr>
        <w:t>togliatti@rostatus.ru</w:t>
      </w:r>
    </w:p>
    <w:p>
      <w:pPr>
        <w:pStyle w:val="style41"/>
        <w:spacing w:after="40" w:before="120"/>
        <w:jc w:val="both"/>
      </w:pPr>
      <w:r>
        <w:rPr>
          <w:rStyle w:val="style16"/>
          <w:i w:val="false"/>
          <w:sz w:val="23"/>
        </w:rPr>
        <w:t>Размещение ценных бумаг не предполагается осуществлять за пределами Российской Федерации, в том числе посредством размещения соответствующих иностранных ценных бумаг.</w:t>
      </w:r>
    </w:p>
    <w:p>
      <w:pPr>
        <w:pStyle w:val="style41"/>
        <w:jc w:val="both"/>
      </w:pPr>
      <w:r>
        <w:rPr>
          <w:rStyle w:val="style16"/>
          <w:i w:val="false"/>
          <w:sz w:val="23"/>
        </w:rPr>
        <w:t>Ценные бумаги не размещаются посредством подписки путем проведения торгов.</w:t>
      </w:r>
    </w:p>
    <w:p>
      <w:pPr>
        <w:pStyle w:val="style41"/>
        <w:jc w:val="both"/>
      </w:pPr>
      <w:r>
        <w:rPr>
          <w:rStyle w:val="style16"/>
          <w:i w:val="false"/>
          <w:sz w:val="23"/>
        </w:rPr>
        <w:t>Размещение ценных бумаг с привлечением профессиональных участников рынка ценных бумаг, оказывающих Эмитенту услуги по размещению и/или организации размещения ценных бумаг, Эмитентом не осуществляется.</w:t>
      </w:r>
    </w:p>
    <w:p>
      <w:pPr>
        <w:pStyle w:val="style41"/>
        <w:jc w:val="both"/>
      </w:pPr>
      <w:r>
        <w:rPr>
          <w:rStyle w:val="style16"/>
          <w:i w:val="false"/>
          <w:sz w:val="23"/>
        </w:rPr>
        <w:t>Одновременно с размещением ценных бумаг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не планируется.</w:t>
      </w:r>
    </w:p>
    <w:p>
      <w:pPr>
        <w:pStyle w:val="style41"/>
        <w:jc w:val="both"/>
      </w:pPr>
      <w:r>
        <w:rPr>
          <w:rStyle w:val="style16"/>
          <w:i w:val="false"/>
          <w:sz w:val="23"/>
        </w:rPr>
        <w:t>Акции, ценные бумаги, конвертируемые в акции, и опционы Эмитента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 пропорционального количеству принадлежащих им акций соответствующей категории (типа), акционерным обществом не размещаются.</w:t>
      </w:r>
    </w:p>
    <w:p>
      <w:pPr>
        <w:pStyle w:val="style41"/>
        <w:jc w:val="both"/>
      </w:pPr>
      <w:r>
        <w:rPr>
          <w:rStyle w:val="style16"/>
          <w:i w:val="false"/>
          <w:sz w:val="23"/>
        </w:rPr>
        <w:t>Ценные бумаги посредством закрытой подписки только среди акционеров акционерного общества - Эмитента с предоставлением им возможности приобретения определенного (ограниченного) количества размещаемых ценных бумаг не размещаются.</w:t>
      </w:r>
    </w:p>
    <w:p>
      <w:pPr>
        <w:pStyle w:val="style41"/>
        <w:jc w:val="both"/>
      </w:pPr>
      <w:r>
        <w:rPr>
          <w:rStyle w:val="style16"/>
          <w:i w:val="false"/>
          <w:sz w:val="23"/>
        </w:rPr>
        <w:t>Эмитент и/или уполномоченное им лицо не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w:t>
      </w:r>
    </w:p>
    <w:p>
      <w:pPr>
        <w:pStyle w:val="style41"/>
        <w:jc w:val="both"/>
      </w:pPr>
      <w:r>
        <w:rPr>
          <w:rStyle w:val="style16"/>
          <w:i w:val="false"/>
          <w:sz w:val="23"/>
        </w:rPr>
        <w:t>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не является хозяйственным обществом, имеющим стратегическое значение для обеспечения обороны страны и безопасности государства.</w:t>
      </w:r>
    </w:p>
    <w:p>
      <w:pPr>
        <w:pStyle w:val="style41"/>
        <w:jc w:val="both"/>
      </w:pPr>
      <w:r>
        <w:rPr>
          <w:rStyle w:val="style16"/>
          <w:i w:val="false"/>
          <w:sz w:val="23"/>
        </w:rPr>
        <w:t>Заключение договоров, направленных на отчуждение ценных бумаг Эмитента первым владельцам в ходе их размещения, не требует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style1"/>
        <w:spacing w:after="40" w:before="200"/>
      </w:pPr>
      <w:r>
        <w:rPr/>
        <w:t>8.4. Цена (цены) или порядок определения цены размещения ценных бумаг</w:t>
      </w:r>
    </w:p>
    <w:p>
      <w:pPr>
        <w:pStyle w:val="style0"/>
        <w:jc w:val="both"/>
      </w:pPr>
      <w:r>
        <w:rPr>
          <w:rStyle w:val="style16"/>
          <w:i w:val="false"/>
          <w:sz w:val="23"/>
        </w:rPr>
        <w:t xml:space="preserve">Цена размещения ценных бумаг: </w:t>
      </w:r>
      <w:r>
        <w:rPr>
          <w:rStyle w:val="style16"/>
        </w:rPr>
        <w:t>1 рубль за одну обыкновенную акцию</w:t>
      </w:r>
    </w:p>
    <w:p>
      <w:pPr>
        <w:pStyle w:val="style0"/>
        <w:jc w:val="both"/>
      </w:pPr>
      <w:r>
        <w:rPr>
          <w:rStyle w:val="style16"/>
          <w:i w:val="false"/>
          <w:sz w:val="23"/>
        </w:rPr>
        <w:t xml:space="preserve">Цена размещения ценных бумаг лицам, имеющим преимущественное право приобретения ценных бумаг: </w:t>
      </w:r>
      <w:r>
        <w:rPr>
          <w:rStyle w:val="style16"/>
        </w:rPr>
        <w:t>1 рубль за одну обыкновенную акцию</w:t>
      </w:r>
    </w:p>
    <w:p>
      <w:pPr>
        <w:pStyle w:val="style1"/>
        <w:spacing w:after="40" w:before="200"/>
        <w:jc w:val="both"/>
      </w:pPr>
      <w:r>
        <w:rPr/>
        <w:t>8.5. Порядок осуществления преимущественного права приобретения размещаемых ценных бумаг</w:t>
      </w:r>
    </w:p>
    <w:p>
      <w:pPr>
        <w:pStyle w:val="style0"/>
        <w:spacing w:after="40" w:before="120"/>
        <w:jc w:val="both"/>
      </w:pPr>
      <w:r>
        <w:rPr>
          <w:rStyle w:val="style16"/>
          <w:i w:val="false"/>
          <w:sz w:val="23"/>
        </w:rPr>
        <w:t xml:space="preserve">Дата, на которую составляется список лиц, имеющих преимущественное право приобретения размещаемых ценных бумаг: </w:t>
      </w:r>
      <w:r>
        <w:rPr>
          <w:rStyle w:val="style16"/>
        </w:rPr>
        <w:t>12.11.2012 (дата составления списка лиц, имеющих право на участие во внеочередном общем собрании акционеров Эмитента, проведенном 27.12.2012, на котором было принято решение о размещении дополнительных акций Эмитента)</w:t>
      </w:r>
    </w:p>
    <w:p>
      <w:pPr>
        <w:pStyle w:val="style41"/>
        <w:spacing w:after="40" w:before="120"/>
        <w:jc w:val="both"/>
      </w:pPr>
      <w:r>
        <w:rPr>
          <w:rStyle w:val="style16"/>
          <w:i w:val="false"/>
          <w:sz w:val="23"/>
        </w:rPr>
        <w:t>Порядок уведомления лиц, имеющих преимущественное право приобретения размещаемых ценных бумаг, о возможности его осуществления:</w:t>
      </w:r>
    </w:p>
    <w:p>
      <w:pPr>
        <w:pStyle w:val="style0"/>
        <w:jc w:val="both"/>
      </w:pPr>
      <w:r>
        <w:rPr>
          <w:rStyle w:val="style16"/>
        </w:rPr>
        <w:t>Эмитент уведомляет лиц, включенных в Список, о возможности осуществления ими преимущественного права приобретения дополнительных акций Эмитента. Уведомление осуществляется не позднее 10 (Десять) дней с даты получения Эмитентом уведомления регистрирующего органа о государственной регистрации дополнительного выпуска ценных бумаг путем направления каждому лицу, включенному в Список, заказным письмом или вручения каждому лицу, включенному в Список, или его должным образом уполномоченному представителю под роспись сообщения о принятии регистрирующим органом решения о государственной регистрации дополнительного выпуска ценных бумаг Эмитента, о дате получения Эмитентом уведомления регистрирующего органа о государственной регистрации дополнительного выпуска ценных бумаг Эмитента и о возможности осуществления лицами, включенными в Список, преимущественного права приобретения дополнительных акций Эмитента. В данном сообщении указываются также вид, категория и количество размещаемых ценных бумаг, цена их размещения (в том числе при осуществлении преимущественного права приобретения дополнительных акций Эмитента), форма оплаты размещаемых дополнительных акций Эмитента (денежными средствами в валюте Российской Федерации по безналичному расчету с возможностью оплаты приобретаемых ценных бумаг путем зачета денежных требований к Эмитенту), платежные (банковские) реквизиты Эмитента, по которым должны перечисляться денежные средства в оплату приобретаемых дополнительных акций, порядок направления заявлений о зачете денежных требований к Эмитенту в оплату приобретаемых дополнительных акций, порядок определения количества ценных бумаг, которое вправе приобрести каждое лицо, включенное в Список, порядок, в котором Заявления должны быть поданы Эмитенту, а также срок, в течение которого Заявления должны поступить Эмитенту.</w:t>
      </w:r>
    </w:p>
    <w:p>
      <w:pPr>
        <w:pStyle w:val="style41"/>
        <w:jc w:val="both"/>
      </w:pPr>
      <w:r>
        <w:rPr>
          <w:rStyle w:val="style16"/>
          <w:i w:val="false"/>
          <w:sz w:val="23"/>
        </w:rPr>
        <w:t>Порядок осуществления преимущественного права приобретения размещаемых ценных бумаг:</w:t>
      </w:r>
    </w:p>
    <w:p>
      <w:pPr>
        <w:pStyle w:val="style0"/>
        <w:jc w:val="both"/>
      </w:pPr>
      <w:r>
        <w:rPr>
          <w:rStyle w:val="style16"/>
        </w:rPr>
        <w:t xml:space="preserve">В </w:t>
      </w:r>
      <w:r>
        <w:rPr>
          <w:rStyle w:val="style16"/>
          <w:lang w:val="en-US"/>
        </w:rPr>
        <w:t>C</w:t>
      </w:r>
      <w:r>
        <w:rPr>
          <w:rStyle w:val="style16"/>
        </w:rPr>
        <w:t>писок включаются акционеры Эмитента, голосовавшие против или не принимавшие участия в голосовании по вопросу о размещении посредством закрытой подписки акций Эмитента (вопрос № 2 «Увеличение уставного капитала ОАО «ПСА «БРОНТО» путем размещения дополнительных акций» повестки дня внеочередного общего собрания акционеров Эмитента, проведенного 27.12.2012).</w:t>
      </w:r>
    </w:p>
    <w:p>
      <w:pPr>
        <w:pStyle w:val="style0"/>
        <w:jc w:val="both"/>
      </w:pPr>
      <w:r>
        <w:rPr>
          <w:rStyle w:val="style16"/>
        </w:rPr>
        <w:t>Каждое лицо, включенное в Список, желающее реализовать свое преимущественное право приобретения дополнительных акций Эмитента, вправе подать Эмитенту Заявление на приобретение целого числа размещаемых акций, указав в нем число акций, которое намеревается приобрести данное лицо, не превышающее максимального количества акций, определенного в соответствии с формулой, указанной в настоящем решении о дополнительном выпуске ценных бумаг. Заявление подается путем его направления почтовой связью или предоставления лично лицом, включенным в Список, или его должным образом уполномоченным представителем по адресу: 445032, Российская Федерация, Самарская область, г. Тольятти, ул. Заставная, 7.</w:t>
      </w:r>
    </w:p>
    <w:p>
      <w:pPr>
        <w:pStyle w:val="style0"/>
        <w:jc w:val="both"/>
      </w:pPr>
      <w:r>
        <w:rPr>
          <w:rStyle w:val="style16"/>
        </w:rPr>
        <w:t>Максимальное количество акций, в пределах которого каждое лицо, включенное в Список, имеет право приобрести размещаемые акции при осуществлении преимущественного права приобретения дополнительных акций Эмитента, определяется по формуле:</w:t>
      </w:r>
    </w:p>
    <w:p>
      <w:pPr>
        <w:pStyle w:val="style0"/>
        <w:jc w:val="both"/>
      </w:pPr>
      <w:r>
        <w:rPr>
          <w:rStyle w:val="style16"/>
        </w:rPr>
        <w:t>N</w:t>
      </w:r>
      <w:r>
        <w:rPr>
          <w:rStyle w:val="style16"/>
          <w:vertAlign w:val="subscript"/>
          <w:lang w:val="en-US"/>
        </w:rPr>
        <w:t>max</w:t>
      </w:r>
      <w:r>
        <w:rPr>
          <w:rStyle w:val="style16"/>
        </w:rPr>
        <w:t>=151×N, где</w:t>
      </w:r>
    </w:p>
    <w:p>
      <w:pPr>
        <w:pStyle w:val="style0"/>
        <w:jc w:val="both"/>
      </w:pPr>
      <w:r>
        <w:rPr>
          <w:rStyle w:val="style16"/>
        </w:rPr>
        <w:t>N</w:t>
      </w:r>
      <w:r>
        <w:rPr>
          <w:rStyle w:val="style16"/>
          <w:vertAlign w:val="subscript"/>
          <w:lang w:val="en-US"/>
        </w:rPr>
        <w:t>max</w:t>
      </w:r>
      <w:r>
        <w:rPr>
          <w:rStyle w:val="style16"/>
        </w:rPr>
        <w:t xml:space="preserve"> – максимальное количество акций, в пределах которого каждое лицо, включенное в Список, имеет право приобрести размещаемые акции при осуществлении преимущественного права приобретения дополнительных акций Эмитента;</w:t>
      </w:r>
    </w:p>
    <w:p>
      <w:pPr>
        <w:pStyle w:val="style0"/>
        <w:jc w:val="both"/>
      </w:pPr>
      <w:r>
        <w:rPr>
          <w:rStyle w:val="style16"/>
        </w:rPr>
        <w:t>N – количество обыкновенных акций Эмитента, которым владеет соответствующее лицо, включенное в Список, по данным реестра акционеров Эмитента по состоянию на 12.11.2012 (дату составления списка лиц, имеющих право на участие во внеочередном общем собрании акционеров Эмитента, проведенном 27.12.2012, на котором было принято решение о размещении дополнительных акций Эмитента).</w:t>
      </w:r>
    </w:p>
    <w:p>
      <w:pPr>
        <w:pStyle w:val="style0"/>
        <w:jc w:val="both"/>
      </w:pPr>
      <w:r>
        <w:rPr>
          <w:rStyle w:val="style16"/>
        </w:rPr>
        <w:t>Должным образом уполномоченным представителем юридического лица являются:</w:t>
      </w:r>
    </w:p>
    <w:p>
      <w:pPr>
        <w:pStyle w:val="style0"/>
        <w:jc w:val="both"/>
      </w:pPr>
      <w:r>
        <w:rPr>
          <w:rStyle w:val="style16"/>
        </w:rPr>
        <w:t>- физическое лицо, имеющее право действовать от имени этого юридического лица без доверенности;</w:t>
      </w:r>
    </w:p>
    <w:p>
      <w:pPr>
        <w:pStyle w:val="style0"/>
        <w:jc w:val="both"/>
      </w:pPr>
      <w:r>
        <w:rPr>
          <w:rStyle w:val="style16"/>
        </w:rPr>
        <w:t>- физическое лицо, действующее от имени этого юридического лица на основании доверенности, содержащей соответствующие полномочия.</w:t>
      </w:r>
    </w:p>
    <w:p>
      <w:pPr>
        <w:pStyle w:val="style0"/>
        <w:jc w:val="both"/>
      </w:pPr>
      <w:r>
        <w:rPr>
          <w:rStyle w:val="style16"/>
        </w:rPr>
        <w:t>Должным образом уполномоченным представителем физического лица являются:</w:t>
      </w:r>
    </w:p>
    <w:p>
      <w:pPr>
        <w:pStyle w:val="style0"/>
        <w:jc w:val="both"/>
      </w:pPr>
      <w:r>
        <w:rPr>
          <w:rStyle w:val="style16"/>
        </w:rPr>
        <w:t>- физическое лицо, действующее от имени этого физического лица на основании доверенности, содержащей соответствующие полномочия;</w:t>
      </w:r>
    </w:p>
    <w:p>
      <w:pPr>
        <w:pStyle w:val="style0"/>
        <w:jc w:val="both"/>
      </w:pPr>
      <w:r>
        <w:rPr>
          <w:rStyle w:val="style16"/>
        </w:rPr>
        <w:t>- физическое лицо, действующее от имени этого физического лица на основании закона.</w:t>
      </w:r>
    </w:p>
    <w:p>
      <w:pPr>
        <w:pStyle w:val="style0"/>
        <w:jc w:val="both"/>
      </w:pPr>
      <w:r>
        <w:rPr>
          <w:rStyle w:val="style16"/>
        </w:rPr>
        <w:t>Заявление от имени юридического лица, включенного в Список, также должно содержать следующие сведения:</w:t>
      </w:r>
    </w:p>
    <w:p>
      <w:pPr>
        <w:pStyle w:val="style0"/>
        <w:jc w:val="both"/>
      </w:pPr>
      <w:r>
        <w:rPr>
          <w:rStyle w:val="style16"/>
        </w:rPr>
        <w:t>- полное фирменное наименование, место нахождения и данные о государственной регистрации юридического лица;</w:t>
      </w:r>
    </w:p>
    <w:p>
      <w:pPr>
        <w:pStyle w:val="style0"/>
        <w:jc w:val="both"/>
      </w:pPr>
      <w:r>
        <w:rPr>
          <w:rStyle w:val="style16"/>
        </w:rPr>
        <w:t>- платежные (банковские) реквизиты юридического лица (для возврата денежных средств, переданных в оплату дополнительных акций Эмитента, в случаях, предусмотренных настоящим решением о дополнительном выпуске ценных бумаг);</w:t>
      </w:r>
    </w:p>
    <w:p>
      <w:pPr>
        <w:pStyle w:val="style0"/>
        <w:jc w:val="both"/>
      </w:pPr>
      <w:r>
        <w:rPr>
          <w:rStyle w:val="style16"/>
        </w:rPr>
        <w:t>- контактный телефон.</w:t>
      </w:r>
    </w:p>
    <w:p>
      <w:pPr>
        <w:pStyle w:val="style0"/>
        <w:jc w:val="both"/>
      </w:pPr>
      <w:r>
        <w:rPr>
          <w:rStyle w:val="style16"/>
        </w:rPr>
        <w:t>Заявление от имени физического лица, включенного в Список, также должно содержать следующие сведения:</w:t>
      </w:r>
    </w:p>
    <w:p>
      <w:pPr>
        <w:pStyle w:val="style0"/>
        <w:jc w:val="both"/>
      </w:pPr>
      <w:r>
        <w:rPr>
          <w:rStyle w:val="style16"/>
        </w:rPr>
        <w:t>- фамилию, имя, отчество, место жительства и данные документа, удостоверяющего личность физического лица;</w:t>
      </w:r>
    </w:p>
    <w:p>
      <w:pPr>
        <w:pStyle w:val="style0"/>
        <w:jc w:val="both"/>
      </w:pPr>
      <w:r>
        <w:rPr>
          <w:rStyle w:val="style16"/>
        </w:rPr>
        <w:t>- платежные (банковские) реквизиты физического лица (для возврата денежных средств, переданных в оплату дополнительных акций Эмитента, в случаях, предусмотренных настоящим решением о дополнительном выпуске ценных бумаг);</w:t>
      </w:r>
    </w:p>
    <w:p>
      <w:pPr>
        <w:pStyle w:val="style0"/>
        <w:jc w:val="both"/>
      </w:pPr>
      <w:r>
        <w:rPr>
          <w:rStyle w:val="style16"/>
        </w:rPr>
        <w:t>- контактный телефон.</w:t>
      </w:r>
    </w:p>
    <w:p>
      <w:pPr>
        <w:pStyle w:val="style0"/>
        <w:jc w:val="both"/>
      </w:pPr>
      <w:r>
        <w:rPr>
          <w:rStyle w:val="style16"/>
        </w:rPr>
        <w:t>Каждое Заявление должно быть подписано лицом, включенным в Список, или его должным образом уполномоченным представителем.</w:t>
      </w:r>
    </w:p>
    <w:p>
      <w:pPr>
        <w:pStyle w:val="style0"/>
        <w:jc w:val="both"/>
      </w:pPr>
      <w:r>
        <w:rPr>
          <w:rStyle w:val="style16"/>
        </w:rPr>
        <w:t>Полное фирменное наименование (фамилия, имя, отчество), место нахождения (место жительства) и данные о государственной регистрации юридического лица (данные документа, удостоверяющего личность физического лица), указываемые в Заявлении, должны совпадать с информацией лицевого счета соответствующего зарегистрированного лица в реестре владельцев именных ценных бумаг Эмитента.</w:t>
      </w:r>
    </w:p>
    <w:p>
      <w:pPr>
        <w:pStyle w:val="style0"/>
        <w:jc w:val="both"/>
      </w:pPr>
      <w:r>
        <w:rPr>
          <w:rStyle w:val="style16"/>
        </w:rPr>
        <w:t>К каждому Заявлению должен быть приложен документ (документы), подтверждающий оплату приобретаемых дополнительных акций Эмитента. В случае оплаты приобретаемых акций путем перечисления денежных средств по платежным (банковским) реквизитам Эмитента таким документом является платежное поручение (иной аналогичный документ, выдаваемый банком), содержащее отметку банка об исполнении платежа. В случае оплаты приобретаемых акций путем зачета денежных требований к Эмитенту таким документом является заявление о зачете встречных денежных требований, подписанное лицом, включенным в Список, или его должным образом уполномоченным представителем и содержащее следующие сведения:</w:t>
      </w:r>
    </w:p>
    <w:p>
      <w:pPr>
        <w:pStyle w:val="style0"/>
        <w:jc w:val="both"/>
      </w:pPr>
      <w:r>
        <w:rPr>
          <w:rStyle w:val="style16"/>
        </w:rPr>
        <w:t>В отношении юридического лица, включенного в Список, которое оплачивает приобретаемые акции путем зачета денежных требований к Эмитенту:</w:t>
      </w:r>
    </w:p>
    <w:p>
      <w:pPr>
        <w:pStyle w:val="style0"/>
        <w:jc w:val="both"/>
      </w:pPr>
      <w:r>
        <w:rPr>
          <w:rStyle w:val="style16"/>
        </w:rPr>
        <w:t>- полное фирменное наименование, место нахождения и данные о государственной регистрации юридического лица;</w:t>
      </w:r>
    </w:p>
    <w:p>
      <w:pPr>
        <w:pStyle w:val="style0"/>
        <w:jc w:val="both"/>
      </w:pPr>
      <w:r>
        <w:rPr>
          <w:rStyle w:val="style16"/>
        </w:rPr>
        <w:t>- основания возникновения у юридического лица денежных требований к Эмитенту, которые юридическое лицо предъявляет к зачету во исполнение своих денежных обязательств перед Эмитентом по оплате приобретаемых акций;</w:t>
      </w:r>
    </w:p>
    <w:p>
      <w:pPr>
        <w:pStyle w:val="style0"/>
        <w:jc w:val="both"/>
      </w:pPr>
      <w:r>
        <w:rPr>
          <w:rStyle w:val="style16"/>
        </w:rPr>
        <w:t>- </w:t>
      </w:r>
      <w:r>
        <w:rPr>
          <w:b/>
          <w:i/>
        </w:rPr>
        <w:t xml:space="preserve">сумма денежных требований по каждому такому основанию, которые юридическое лицо предъявляет Эмитенту к зачету </w:t>
      </w:r>
      <w:r>
        <w:rPr>
          <w:rStyle w:val="style16"/>
        </w:rPr>
        <w:t>во исполнение своих денежных обязательств перед Эмитентом по оплате приобретаемых акций.</w:t>
      </w:r>
    </w:p>
    <w:p>
      <w:pPr>
        <w:pStyle w:val="style0"/>
        <w:jc w:val="both"/>
      </w:pPr>
      <w:r>
        <w:rPr>
          <w:rStyle w:val="style16"/>
        </w:rPr>
        <w:t>В отношении физического лица, включенного в Список, которое оплачивает приобретаемые акции путем зачета денежных требований к Эмитенту:</w:t>
      </w:r>
    </w:p>
    <w:p>
      <w:pPr>
        <w:pStyle w:val="style0"/>
        <w:jc w:val="both"/>
      </w:pPr>
      <w:r>
        <w:rPr>
          <w:rStyle w:val="style16"/>
        </w:rPr>
        <w:t>- фамилия, имя, отчество, место жительства и данные документа, удостоверяющего личность физического лица;</w:t>
      </w:r>
    </w:p>
    <w:p>
      <w:pPr>
        <w:pStyle w:val="style0"/>
        <w:jc w:val="both"/>
      </w:pPr>
      <w:r>
        <w:rPr>
          <w:rStyle w:val="style16"/>
        </w:rPr>
        <w:t>- основания возникновения у физического лица денежных требований к Эмитенту, которые физическое лицо предъявляет к зачету во исполнение своих денежных обязательств перед Эмитентом по оплате приобретаемых акций;</w:t>
      </w:r>
    </w:p>
    <w:p>
      <w:pPr>
        <w:pStyle w:val="style0"/>
        <w:jc w:val="both"/>
      </w:pPr>
      <w:r>
        <w:rPr>
          <w:rStyle w:val="style16"/>
        </w:rPr>
        <w:t>- </w:t>
      </w:r>
      <w:r>
        <w:rPr>
          <w:b/>
          <w:i/>
        </w:rPr>
        <w:t xml:space="preserve">сумма денежных требований по каждому такому основанию, которые </w:t>
      </w:r>
      <w:r>
        <w:rPr>
          <w:rStyle w:val="style16"/>
        </w:rPr>
        <w:t>физическое</w:t>
      </w:r>
      <w:r>
        <w:rPr>
          <w:b/>
          <w:i/>
        </w:rPr>
        <w:t xml:space="preserve"> лицо предъявляет Эмитенту к зачету </w:t>
      </w:r>
      <w:r>
        <w:rPr>
          <w:rStyle w:val="style16"/>
        </w:rPr>
        <w:t>во исполнение своих денежных обязательств перед Эмитентом по оплате приобретаемых акций.</w:t>
      </w:r>
    </w:p>
    <w:p>
      <w:pPr>
        <w:pStyle w:val="style0"/>
        <w:jc w:val="both"/>
      </w:pPr>
      <w:r>
        <w:rPr>
          <w:rStyle w:val="style16"/>
        </w:rPr>
        <w:t>В случае представления Эмитенту документов и/или подписания документов, представляемых Эмитенту, от имени лица, включенного в Список, его должным образом уполномоченным представителем Эмитенту должны быть предоставлены оригиналы или заверенные в предусмотренном законодательством Российской Федерации порядке копии документов, подтверждающих соответствующие полномочия должным образом уполномоченного представителя.</w:t>
      </w:r>
    </w:p>
    <w:p>
      <w:pPr>
        <w:pStyle w:val="style0"/>
        <w:jc w:val="both"/>
      </w:pPr>
      <w:r>
        <w:rPr>
          <w:rStyle w:val="style16"/>
        </w:rPr>
        <w:t>Сроком, в течение которого Эмитенту по указанному адресу от лиц, включенных в Список и желающих реализовать свое преимущественное право приобретения дополнительных акций Эмитента, должны поступить Заявления с приложенными документами об оплате приобретаемых дополнительных акций, является период начиная с одиннадцатого дня с даты получения Эмитентом уведомления регистрирующего органа о государственной регистрации дополнительного выпуска ценных бумаг и заканчивая пятьдесят пятым днем с даты получения Эмитентом уведомления регистрирующего органа о государственной регистрации дополнительного выпуска ценных бумаг включительно. Включенные в Список лица, Заявления с приложенными документами об оплате приобретаемых дополнительных акций от которых не поступили Эмитенту в указанный срок по обозначенному адресу, считаются отказавшимися от реализации своего преимущественного права приобретения дополнительных акций Эмитента.</w:t>
      </w:r>
    </w:p>
    <w:p>
      <w:pPr>
        <w:pStyle w:val="style0"/>
        <w:jc w:val="both"/>
      </w:pPr>
      <w:r>
        <w:rPr>
          <w:rStyle w:val="style16"/>
        </w:rPr>
        <w:t xml:space="preserve">В случае, если размер денежных средств, уплаченных Эмитенту за приобретение акций согласно прилагаемому к Заявлению документу (документам) об оплате приобретаемых акций, не соответствует размеру денежных средств, подлежащих уплате в соответствии с заявленным к приобретению количеством акций, указанным в данном Заявлении, поступившие документы рассматриваются Эмитентом как намерение соответствующего лица приобрести количество акций, определяемое согласно документу (документам) об оплате приобретаемых акций, прилагаемому к Заявлению (намерение приобрести фактически оплаченное количество акций). </w:t>
      </w:r>
    </w:p>
    <w:p>
      <w:pPr>
        <w:pStyle w:val="style0"/>
        <w:jc w:val="both"/>
      </w:pPr>
      <w:r>
        <w:rPr>
          <w:rStyle w:val="style16"/>
        </w:rPr>
        <w:t>В случае, если количество акций, оплаченное согласно прилагаемому к Заявлению документу (документам) об оплате приобретаемых акций, превышает максимальное количество акций, определенное в соответствии с формулой, указанной в настоящем решении о дополнительном выпуске ценных бумаг, поступившие документы рассматриваются Эмитентом как намерение соответствующего лица приобрести данное максимальное количество акций; денежные средства, зачисленные на расчетный счет Эмитента в оплату количества акций, превышающего максимальное количество акций, определенное в соответствии с указанной формулой, подлежат возврату плательщику, а в случае оплаты акций путем зачета денежных требований к Эмитенту – взаимные денежные обязательства между Эмитентом и приобретателем акций, размер которых соответствует стоимости количества акций, превышающего максимальное количество акций, определенное в соответствии с указанной формулой, считаются непогашенными.</w:t>
      </w:r>
    </w:p>
    <w:p>
      <w:pPr>
        <w:pStyle w:val="style0"/>
        <w:jc w:val="both"/>
      </w:pPr>
      <w:r>
        <w:rPr>
          <w:rStyle w:val="style16"/>
        </w:rPr>
        <w:t>В случае, если Эмитенту от одного лица, включенного в Список, поступило в установленном порядке несколько Заявлений с приложенными документами об оплате приобретаемых акций, поступившие документы рассматриваются Эмитентом как намерение соответствующего лица приобрести суммарное количество акций, оплаченных согласно всем документам об оплате приобретаемых акций, полученных Эмитентом от данного лица.</w:t>
      </w:r>
    </w:p>
    <w:p>
      <w:pPr>
        <w:pStyle w:val="style0"/>
        <w:jc w:val="both"/>
      </w:pPr>
      <w:r>
        <w:rPr>
          <w:rStyle w:val="style16"/>
        </w:rPr>
        <w:t>В случае, если количество акций, оплаченное согласно прилагаемому к Заявлению документу (документам) об оплате приобретаемых акций, является числом с дробной частью, поступившие документы рассматриваются Эмитентом как намерение соответствующего лица приобрести ближайшее к числу акций, оплаченных согласно прилагаемому документу (документам) об оплате приобретаемых акций, меньшее целое число акций; денежные средства, зачисленные на расчетный счет Эмитента в оплату дробной части акции, подлежат возврату плательщику, а в случае оплаты акций путем зачета денежных требований к Эмитенту – взаимные денежные обязательства между Эмитентом и приобретателем акций, размер которых соответствует стоимости дробной части акции, считаются непогашенными.</w:t>
      </w:r>
    </w:p>
    <w:p>
      <w:pPr>
        <w:pStyle w:val="style0"/>
        <w:jc w:val="both"/>
      </w:pPr>
      <w:r>
        <w:rPr>
          <w:rStyle w:val="style16"/>
        </w:rPr>
        <w:t>В случае, если количество акций, оплаченное согласно прилагаемому к Заявлению документу (документам) об оплате приобретаемых акций, является дробным числом меньше единицы, поступившие документы не рассматриваются Эмитентом как намерение соответствующего лица реализовать свое преимущественное право приобретения дополнительных акций Эмитента, при этом денежные средства, зачисленные на расчетный счет Эмитента в оплату дробной части акции, подлежат возврату плательщику, а в случае оплаты дробной части акции путем зачета денежных требований к Эмитенту – взаимные денежные обязательства между Эмитентом и приобретателем акций, размер которых соответствует стоимости дробной части акции, считаются непогашенными.</w:t>
      </w:r>
    </w:p>
    <w:p>
      <w:pPr>
        <w:pStyle w:val="style0"/>
        <w:jc w:val="both"/>
      </w:pPr>
      <w:r>
        <w:rPr>
          <w:rStyle w:val="style16"/>
        </w:rPr>
        <w:t>Договор, на основании которого осуществляется размещение дополнительных акций Эмитента лицу, реализующему свое преимущественное право их приобретения, считается договором купли-продажи, заключаемым посредством направления Эмитентом оферты (предложения заключать договоры), которой является сообщение о возможности осуществления преимущественного права приобретения дополнительных акций Эмитента, направляемое (вручаемое) каждому лицу, включенному в Список, и ее акцепта (принятия предложения включенным в Список лицом, желающим реализовать свое преимущественное право приобретения дополнительных акций Эмитента), которым является Заявление с приложенным документом (документами) об оплате приобретаемых акций, при этом датой заключения такого договора признается дата получения Эмитентом в установленном порядке Заявления с приложенным документом (документами) об оплате приобретаемых акций, а если Заявления с приложенными документами об оплате приобретаемых акций были получены Эмитентом до даты начала размещения ценных бумаг, датой заключения соответствующих договоров признается дата начала размещения ценных бумаг, определяемая в соответствии с настоящим решением о дополнительном выпуске ценных бумаг.</w:t>
      </w:r>
    </w:p>
    <w:p>
      <w:pPr>
        <w:pStyle w:val="style0"/>
        <w:jc w:val="both"/>
      </w:pPr>
      <w:r>
        <w:rPr>
          <w:rStyle w:val="style16"/>
        </w:rPr>
        <w:t>Эмитент осуществляет перерегистрацию акций, приобретаемых при осуществлении преимущественного права приобретения дополнительных акций Эмитента, в реестре владельцев именных ценных бумаг Эмитента на лицевой счет лица, реализующего свое преимущественное право приобретения дополнительных акций Эмитента, в период начиная с пятьдесят шестого дня с даты получения Эмитентом уведомления регистрирующего органа о государственной регистрации дополнительного выпуска ценных бумаг и заканчивая шестидесятым днем с даты получения Эмитентом уведомления регистрирующего органа о государственной регистрации дополнительного выпуска ценных бумаг включительно. С момента внесения в реестр владельцев именных ценных бумаг Эмитента приходной записи по лицевому счету лица, реализующего свое преимущественное право приобретения дополнительных акций Эмитента, акции дополнительного выпуска, зачисленные на указанный лицевой счет, считаются размещенными.</w:t>
      </w:r>
    </w:p>
    <w:p>
      <w:pPr>
        <w:pStyle w:val="style41"/>
        <w:jc w:val="both"/>
      </w:pPr>
      <w:r>
        <w:rPr>
          <w:rStyle w:val="style16"/>
          <w:i w:val="false"/>
          <w:sz w:val="23"/>
        </w:rPr>
        <w:t xml:space="preserve">Срок действия преимущественного права приобретения размещаемых ценных бумаг: </w:t>
      </w:r>
      <w:r>
        <w:rPr>
          <w:rStyle w:val="style16"/>
        </w:rPr>
        <w:t>период начиная с одиннадцатого дня с даты получения Эмитентом уведомления регистрирующего органа о государственной регистрации дополнительного выпуска ценных бумаг и заканчивая пятьдесят пятым днем с даты получения Эмитентом уведомления регистрирующего органа о государственной регистрации дополнительного выпуска ценных бумаг включительно.</w:t>
      </w:r>
    </w:p>
    <w:p>
      <w:pPr>
        <w:pStyle w:val="style0"/>
        <w:jc w:val="both"/>
      </w:pPr>
      <w:r>
        <w:rPr>
          <w:rStyle w:val="style16"/>
        </w:rPr>
        <w:t>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p>
    <w:p>
      <w:pPr>
        <w:pStyle w:val="style41"/>
        <w:jc w:val="both"/>
      </w:pPr>
      <w:r>
        <w:rPr>
          <w:rStyle w:val="style16"/>
          <w:i w:val="false"/>
          <w:sz w:val="23"/>
        </w:rPr>
        <w:t>Порядок подведения итогов осуществления преимущественного права приобретения размещаемых ценных бумаг:</w:t>
      </w:r>
    </w:p>
    <w:p>
      <w:pPr>
        <w:pStyle w:val="style0"/>
        <w:jc w:val="both"/>
      </w:pPr>
      <w:r>
        <w:rPr>
          <w:rStyle w:val="style16"/>
        </w:rPr>
        <w:t>В шестидесятый день с даты получения Эмитентом уведомления регистрирующего органа о государственной регистрации дополнительного выпуска ценных бумаг Эмитент подводит итоги осуществления преимущественного права приобретения дополнительных акций Эмитента путем утверждения генеральным директором Эмитента отчета об итогах осуществления преимущественного права приобретения дополнительных акций, который содержит следующую информацию:</w:t>
      </w:r>
    </w:p>
    <w:p>
      <w:pPr>
        <w:pStyle w:val="style0"/>
        <w:jc w:val="both"/>
      </w:pPr>
      <w:r>
        <w:rPr>
          <w:rStyle w:val="style16"/>
        </w:rPr>
        <w:t>-</w:t>
      </w:r>
      <w:r>
        <w:rPr>
          <w:rStyle w:val="style16"/>
          <w:lang w:val="en-US"/>
        </w:rPr>
        <w:t> </w:t>
      </w:r>
      <w:r>
        <w:rPr>
          <w:rStyle w:val="style16"/>
        </w:rPr>
        <w:t>государственный регистрационный номер дополнительного выпуска ценных бумаг Эмитента;</w:t>
      </w:r>
    </w:p>
    <w:p>
      <w:pPr>
        <w:pStyle w:val="style0"/>
        <w:jc w:val="both"/>
      </w:pPr>
      <w:r>
        <w:rPr>
          <w:rStyle w:val="style16"/>
        </w:rPr>
        <w:t>-</w:t>
      </w:r>
      <w:r>
        <w:rPr>
          <w:rStyle w:val="style16"/>
          <w:lang w:val="en-US"/>
        </w:rPr>
        <w:t> </w:t>
      </w:r>
      <w:r>
        <w:rPr>
          <w:rStyle w:val="style16"/>
        </w:rPr>
        <w:t>дата государственной регистрации дополнительного выпуска ценных бумаг Эмитента и орган, ее осуществивший;</w:t>
      </w:r>
    </w:p>
    <w:p>
      <w:pPr>
        <w:pStyle w:val="style0"/>
        <w:jc w:val="both"/>
      </w:pPr>
      <w:r>
        <w:rPr>
          <w:rStyle w:val="style16"/>
        </w:rPr>
        <w:t>- дата получения Эмитентом уведомления регистрирующего органа о государственной регистрации дополнительного выпуска ценных бумаг Эмитента;</w:t>
      </w:r>
    </w:p>
    <w:p>
      <w:pPr>
        <w:pStyle w:val="style0"/>
        <w:jc w:val="both"/>
      </w:pPr>
      <w:r>
        <w:rPr>
          <w:rStyle w:val="style16"/>
        </w:rPr>
        <w:t>- вид, категория и количество ценных бумаг Эмитента дополнительного выпуска;</w:t>
      </w:r>
    </w:p>
    <w:p>
      <w:pPr>
        <w:pStyle w:val="style0"/>
        <w:jc w:val="both"/>
      </w:pPr>
      <w:r>
        <w:rPr>
          <w:rStyle w:val="style16"/>
        </w:rPr>
        <w:t>- количество акций Эмитента дополнительного выпуска, приобретенных (полностью оплаченных и зачисленных на лицевые счета приобретателей в реестре владельцев именных ценных бумаг Эмитента) в процессе осуществления преимущественного права приобретения дополнительных акций Эмитента;</w:t>
      </w:r>
    </w:p>
    <w:p>
      <w:pPr>
        <w:pStyle w:val="style0"/>
        <w:jc w:val="both"/>
      </w:pPr>
      <w:r>
        <w:rPr>
          <w:rStyle w:val="style16"/>
        </w:rPr>
        <w:t>- количество акций Эмитента дополнительного выпуска, оставшихся неразмещенными по итогам осуществления преимущественного права приобретения дополнительных акций Эмитента.</w:t>
      </w:r>
    </w:p>
    <w:p>
      <w:pPr>
        <w:pStyle w:val="style41"/>
        <w:jc w:val="both"/>
      </w:pPr>
      <w:r>
        <w:rPr>
          <w:rStyle w:val="style16"/>
          <w:i w:val="false"/>
          <w:sz w:val="23"/>
        </w:rPr>
        <w:t>Порядок раскрытия информации об итогах осуществления преимущественного права приобретения размещаемых ценных бумаг:</w:t>
      </w:r>
    </w:p>
    <w:p>
      <w:pPr>
        <w:pStyle w:val="style0"/>
        <w:jc w:val="both"/>
      </w:pPr>
      <w:r>
        <w:rPr>
          <w:rStyle w:val="style16"/>
        </w:rPr>
        <w:t xml:space="preserve">После утверждения генеральным директором Эмитента отчета об итогах осуществления преимущественного права приобретения дополнительных акций, но не позднее дня его утверждения, Эмитент опубликовывает текст отчета об итогах осуществления преимущественного права приобретения дополнительных акций на странице в сети Интернет </w:t>
      </w:r>
      <w:hyperlink r:id="rId4">
        <w:r>
          <w:rPr>
            <w:rStyle w:val="style16"/>
            <w:rStyle w:val="style18"/>
          </w:rPr>
          <w:t>http://www.disclosure.ru/issuer/6320008240/</w:t>
        </w:r>
      </w:hyperlink>
      <w:r>
        <w:rPr>
          <w:rStyle w:val="style16"/>
        </w:rPr>
        <w:t>, а также вместе с сопроводительным письмом предоставляет данный отчет в канцелярию открытого акционерного общества «АВТОВАЗ». В сопроводительном письме указывается срок, в течение которого должным образом уполномоченные представители Эмитента и ОАО «АВТОВАЗ» должны согласовать и заключить договор купли-продажи акций, оставшихся неразмещенными по итогам осуществления преимущественного права приобретения дополнительных акций Эмитента.</w:t>
      </w:r>
    </w:p>
    <w:p>
      <w:pPr>
        <w:pStyle w:val="style1"/>
        <w:spacing w:after="40" w:before="120"/>
        <w:jc w:val="both"/>
      </w:pPr>
      <w:r>
        <w:rPr/>
        <w:t>8.6. Условия и порядок оплаты ценных бумаг</w:t>
      </w:r>
    </w:p>
    <w:p>
      <w:pPr>
        <w:pStyle w:val="style0"/>
        <w:jc w:val="both"/>
      </w:pPr>
      <w:r>
        <w:rPr>
          <w:rStyle w:val="style16"/>
          <w:i w:val="false"/>
          <w:sz w:val="23"/>
        </w:rPr>
        <w:t>Предусмотрена оплата денежными средствами, в том числе оплата путем зачета денежных требований к Эмитенту.</w:t>
      </w:r>
    </w:p>
    <w:p>
      <w:pPr>
        <w:pStyle w:val="style0"/>
        <w:jc w:val="both"/>
      </w:pPr>
      <w:r>
        <w:rPr>
          <w:rStyle w:val="style16"/>
          <w:i w:val="false"/>
          <w:sz w:val="23"/>
        </w:rPr>
        <w:t>Неденежная форма оплаты не предусмотрена.</w:t>
      </w:r>
    </w:p>
    <w:p>
      <w:pPr>
        <w:pStyle w:val="style0"/>
        <w:jc w:val="both"/>
      </w:pPr>
      <w:r>
        <w:rPr>
          <w:rStyle w:val="style16"/>
          <w:i w:val="false"/>
          <w:sz w:val="23"/>
        </w:rPr>
        <w:t>Предусмотрена безналичная форма расчетов.</w:t>
      </w:r>
    </w:p>
    <w:p>
      <w:pPr>
        <w:pStyle w:val="style0"/>
        <w:jc w:val="both"/>
      </w:pPr>
      <w:r>
        <w:rPr>
          <w:rStyle w:val="style16"/>
          <w:i w:val="false"/>
          <w:sz w:val="23"/>
        </w:rPr>
        <w:t>Наличная форма расчетов не предусмотрена.</w:t>
      </w:r>
    </w:p>
    <w:p>
      <w:pPr>
        <w:pStyle w:val="style0"/>
      </w:pPr>
      <w:r>
        <w:rPr>
          <w:rStyle w:val="style16"/>
          <w:i w:val="false"/>
          <w:sz w:val="23"/>
        </w:rPr>
        <w:t>Форма безналичных расчетов:</w:t>
      </w:r>
      <w:r>
        <w:rPr/>
        <w:t xml:space="preserve"> </w:t>
      </w:r>
      <w:r>
        <w:rPr>
          <w:rStyle w:val="style16"/>
        </w:rPr>
        <w:t>расчеты платежными поручениями.</w:t>
      </w:r>
    </w:p>
    <w:p>
      <w:pPr>
        <w:pStyle w:val="style0"/>
        <w:jc w:val="both"/>
      </w:pPr>
      <w:r>
        <w:rPr>
          <w:rStyle w:val="style16"/>
        </w:rPr>
        <w:t>Оплата приобретаемых акций осуществляется денежными средствами в валюте Российской Федерации по безналичному расчету путем перечисления денежных средств по платежным (банковским) реквизитам Эмитента.</w:t>
      </w:r>
    </w:p>
    <w:p>
      <w:pPr>
        <w:pStyle w:val="style0"/>
        <w:jc w:val="both"/>
      </w:pPr>
      <w:r>
        <w:rPr>
          <w:rStyle w:val="style16"/>
          <w:i w:val="false"/>
          <w:sz w:val="23"/>
        </w:rPr>
        <w:t>Информация о платежных (банковских) реквизитах Эмитента, по которым должны перечисляться денежные средства в оплату приобретаемых акций:</w:t>
      </w:r>
    </w:p>
    <w:p>
      <w:pPr>
        <w:pStyle w:val="style0"/>
        <w:jc w:val="both"/>
      </w:pPr>
      <w:r>
        <w:rPr>
          <w:rStyle w:val="style16"/>
          <w:i w:val="false"/>
          <w:sz w:val="23"/>
        </w:rPr>
        <w:t>- полное фирменное наименование кредитной организации, в которой открыт расчетный счет Эмитента</w:t>
      </w:r>
      <w:r>
        <w:rPr>
          <w:rStyle w:val="style16"/>
        </w:rPr>
        <w:t>: Акционерный коммерческий банк «Тольяттихимбанк» (закрытое акционерное общество);</w:t>
      </w:r>
    </w:p>
    <w:p>
      <w:pPr>
        <w:pStyle w:val="style0"/>
        <w:jc w:val="both"/>
      </w:pPr>
      <w:r>
        <w:rPr>
          <w:rStyle w:val="style16"/>
          <w:i w:val="false"/>
          <w:sz w:val="23"/>
        </w:rPr>
        <w:t>- сокращенное фирменное наименование кредитной организации, в которой открыт расчетный счет Эмитента:</w:t>
      </w:r>
      <w:r>
        <w:rPr>
          <w:rStyle w:val="style16"/>
        </w:rPr>
        <w:t xml:space="preserve"> АКБ «Тольяттихимбанк» (ЗАО);</w:t>
      </w:r>
    </w:p>
    <w:p>
      <w:pPr>
        <w:pStyle w:val="style0"/>
        <w:jc w:val="both"/>
      </w:pPr>
      <w:r>
        <w:rPr>
          <w:rStyle w:val="style16"/>
          <w:i w:val="false"/>
          <w:sz w:val="23"/>
        </w:rPr>
        <w:t>- место нахождения кредитной организации, в которой открыт расчетный счет Эмитента:</w:t>
      </w:r>
      <w:r>
        <w:rPr>
          <w:rStyle w:val="style16"/>
        </w:rPr>
        <w:t xml:space="preserve"> 445009, Российская Федерация, Самарская обл., г. Тольятти, ул. Горького, 96;</w:t>
      </w:r>
    </w:p>
    <w:p>
      <w:pPr>
        <w:pStyle w:val="style0"/>
        <w:jc w:val="both"/>
      </w:pPr>
      <w:r>
        <w:rPr>
          <w:rStyle w:val="style16"/>
          <w:i w:val="false"/>
          <w:sz w:val="23"/>
        </w:rPr>
        <w:t>- банковские реквизиты счетов, на которые должны перечисляться денежные средства, поступающие в оплату ценных бумаг:</w:t>
      </w:r>
      <w:r>
        <w:rPr>
          <w:rStyle w:val="style16"/>
        </w:rPr>
        <w:t xml:space="preserve"> расчетный счет 40702810300030003073, корреспондентский счет 30101810000000000838, БИК 043678838, ИНН 6320008240, КПП 632101001.</w:t>
      </w:r>
    </w:p>
    <w:p>
      <w:pPr>
        <w:pStyle w:val="style0"/>
        <w:jc w:val="both"/>
      </w:pPr>
      <w:r>
        <w:rPr>
          <w:rStyle w:val="style16"/>
        </w:rPr>
        <w:t xml:space="preserve">Дата оплаты приобретаемых акций при оплате акций путем перечисления Эмитенту денежных средств по безналичному расчету определяется как дата зачисления на расчетный счет Эмитента соответствующих денежных средств. </w:t>
      </w:r>
    </w:p>
    <w:p>
      <w:pPr>
        <w:pStyle w:val="style0"/>
        <w:jc w:val="both"/>
      </w:pPr>
      <w:r>
        <w:rPr>
          <w:rStyle w:val="style16"/>
        </w:rPr>
        <w:t>Дата оплаты приобретаемых акций при оплате акций путем зачета денежных требований к Эмитенту определяется как дата получения Эмитентом заявления о зачете встречных требований.</w:t>
      </w:r>
    </w:p>
    <w:p>
      <w:pPr>
        <w:pStyle w:val="style41"/>
        <w:jc w:val="both"/>
      </w:pPr>
      <w:r>
        <w:rPr>
          <w:rStyle w:val="style16"/>
          <w:i w:val="false"/>
          <w:sz w:val="23"/>
        </w:rPr>
        <w:t xml:space="preserve">Срок оплаты (при осуществлении преимущественного права приобретения дополнительных акций Эмитента): </w:t>
      </w:r>
      <w:r>
        <w:rPr>
          <w:rStyle w:val="style16"/>
        </w:rPr>
        <w:t>лицо, реализующее свое преимущественное право приобретения дополнительных акций Эмитента, должно оплатить приобретаемые акции не позднее 55 (Пятьдесят пять) дней с даты получения Эмитентом уведомления регистрирующего органа о государственной регистрации дополнительного выпуска ценных бумаг.</w:t>
      </w:r>
    </w:p>
    <w:p>
      <w:pPr>
        <w:pStyle w:val="style41"/>
        <w:jc w:val="both"/>
      </w:pPr>
      <w:r>
        <w:rPr>
          <w:rStyle w:val="style16"/>
          <w:i w:val="false"/>
          <w:sz w:val="23"/>
        </w:rPr>
        <w:t xml:space="preserve">Срок оплаты (при приобретении открытым акционерным обществом «АВТОВАЗ» акций, оставшихся неразмещенными по итогам осуществления преимущественного права приобретения дополнительных акций Эмитента): </w:t>
      </w:r>
      <w:r>
        <w:rPr>
          <w:rStyle w:val="style16"/>
        </w:rPr>
        <w:t>ОАО «АВТОВАЗ» должно оплатить приобретаемые акции не позднее 75 (Семьдесят пять) дней с даты получения Эмитентом уведомления регистрирующего органа о государственной регистрации дополнительного выпуска ценных бумаг.</w:t>
      </w:r>
    </w:p>
    <w:p>
      <w:pPr>
        <w:pStyle w:val="style41"/>
        <w:spacing w:after="40" w:before="80"/>
        <w:jc w:val="both"/>
      </w:pPr>
      <w:r>
        <w:rPr>
          <w:rStyle w:val="style16"/>
          <w:i w:val="false"/>
          <w:sz w:val="23"/>
        </w:rPr>
        <w:t>Порядок направления заявления о зачете денежных требований к акционерному обществу–Эмитенту в оплату акций</w:t>
      </w:r>
    </w:p>
    <w:p>
      <w:pPr>
        <w:pStyle w:val="style41"/>
        <w:jc w:val="both"/>
      </w:pPr>
      <w:r>
        <w:rPr>
          <w:rStyle w:val="style16"/>
          <w:i w:val="false"/>
          <w:sz w:val="23"/>
        </w:rPr>
        <w:t>При размещении ценных бумаг в ходе осуществления преимущественного права приобретения дополнительных акций Эмитента:</w:t>
      </w:r>
    </w:p>
    <w:p>
      <w:pPr>
        <w:pStyle w:val="style0"/>
        <w:jc w:val="both"/>
      </w:pPr>
      <w:r>
        <w:rPr>
          <w:rStyle w:val="style16"/>
        </w:rPr>
        <w:t>К каждому Заявлению должен быть приложен документ (документы), подтверждающий оплату приобретаемых дополнительных акций Эмитента. В случае оплаты приобретаемых акций путем зачета денежных требований к Эмитенту таким документом является заявление о зачете встречных денежных требований, подписанное лицом, включенным в Список, или его должным образом уполномоченным представителем и содержащее следующие сведения:</w:t>
      </w:r>
    </w:p>
    <w:p>
      <w:pPr>
        <w:pStyle w:val="style0"/>
        <w:jc w:val="both"/>
      </w:pPr>
      <w:r>
        <w:rPr>
          <w:rStyle w:val="style16"/>
        </w:rPr>
        <w:t>В отношении юридического лица, включенного в Список, которое оплачивает приобретаемые акции путем зачета денежных требований к Эмитенту:</w:t>
      </w:r>
    </w:p>
    <w:p>
      <w:pPr>
        <w:pStyle w:val="style0"/>
        <w:jc w:val="both"/>
      </w:pPr>
      <w:r>
        <w:rPr>
          <w:rStyle w:val="style16"/>
        </w:rPr>
        <w:t>- полное фирменное наименование, место нахождения и данные о государственной регистрации юридического лица;</w:t>
      </w:r>
    </w:p>
    <w:p>
      <w:pPr>
        <w:pStyle w:val="style0"/>
        <w:jc w:val="both"/>
      </w:pPr>
      <w:r>
        <w:rPr>
          <w:rStyle w:val="style16"/>
        </w:rPr>
        <w:t>- основания возникновения у юридического лица денежных требований к Эмитенту, которые юридическое лицо предъявляет к зачету во исполнение своих денежных обязательств перед Эмитентом по оплате приобретаемых акций;</w:t>
      </w:r>
    </w:p>
    <w:p>
      <w:pPr>
        <w:pStyle w:val="style0"/>
        <w:jc w:val="both"/>
      </w:pPr>
      <w:r>
        <w:rPr>
          <w:rStyle w:val="style16"/>
        </w:rPr>
        <w:t>- </w:t>
      </w:r>
      <w:r>
        <w:rPr>
          <w:b/>
          <w:i/>
        </w:rPr>
        <w:t xml:space="preserve">сумма денежных требований по каждому такому основанию, которые юридическое лицо предъявляет Эмитенту к зачету </w:t>
      </w:r>
      <w:r>
        <w:rPr>
          <w:rStyle w:val="style16"/>
        </w:rPr>
        <w:t>во исполнение своих денежных обязательств перед Эмитентом по оплате приобретаемых акций.</w:t>
      </w:r>
    </w:p>
    <w:p>
      <w:pPr>
        <w:pStyle w:val="style0"/>
        <w:jc w:val="both"/>
      </w:pPr>
      <w:r>
        <w:rPr>
          <w:rStyle w:val="style16"/>
        </w:rPr>
        <w:t>В отношении физического лица, включенного в Список, которое оплачивает приобретаемые акции путем зачета денежных требований к Эмитенту:</w:t>
      </w:r>
    </w:p>
    <w:p>
      <w:pPr>
        <w:pStyle w:val="style0"/>
        <w:jc w:val="both"/>
      </w:pPr>
      <w:r>
        <w:rPr>
          <w:rStyle w:val="style16"/>
        </w:rPr>
        <w:t>- фамилия, имя, отчество, место жительства и данные документа, удостоверяющего личность физического лица;</w:t>
      </w:r>
    </w:p>
    <w:p>
      <w:pPr>
        <w:pStyle w:val="style0"/>
        <w:jc w:val="both"/>
      </w:pPr>
      <w:r>
        <w:rPr>
          <w:rStyle w:val="style16"/>
        </w:rPr>
        <w:t>- основания возникновения у физического лица денежных требований к Эмитенту, которые физическое лицо предъявляет к зачету во исполнение своих денежных обязательств перед Эмитентом по оплате приобретаемых акций;</w:t>
      </w:r>
    </w:p>
    <w:p>
      <w:pPr>
        <w:pStyle w:val="style0"/>
        <w:jc w:val="both"/>
      </w:pPr>
      <w:r>
        <w:rPr>
          <w:rStyle w:val="style16"/>
        </w:rPr>
        <w:t>- </w:t>
      </w:r>
      <w:r>
        <w:rPr>
          <w:b/>
          <w:i/>
        </w:rPr>
        <w:t xml:space="preserve">сумма денежных требований по каждому такому основанию, которые </w:t>
      </w:r>
      <w:r>
        <w:rPr>
          <w:rStyle w:val="style16"/>
        </w:rPr>
        <w:t>физическое</w:t>
      </w:r>
      <w:r>
        <w:rPr>
          <w:b/>
          <w:i/>
        </w:rPr>
        <w:t xml:space="preserve"> лицо предъявляет Эмитенту к зачету </w:t>
      </w:r>
      <w:r>
        <w:rPr>
          <w:rStyle w:val="style16"/>
        </w:rPr>
        <w:t>во исполнение своих денежных обязательств перед Эмитентом по оплате приобретаемых акций.</w:t>
      </w:r>
    </w:p>
    <w:p>
      <w:pPr>
        <w:pStyle w:val="style0"/>
        <w:jc w:val="both"/>
      </w:pPr>
      <w:r>
        <w:rPr>
          <w:rStyle w:val="style16"/>
        </w:rPr>
        <w:t>В случае представления Эмитенту документов и/или подписания документов, представляемых Эмитенту, от имени лица, включенного в Список, его должным образом уполномоченным представителем Эмитенту должны быть предоставлены оригиналы или заверенные в предусмотренном законодательством Российской Федерации порядке копии документов, подтверждающих соответствующие полномочия должным образом уполномоченного представителя.</w:t>
      </w:r>
    </w:p>
    <w:p>
      <w:pPr>
        <w:pStyle w:val="style0"/>
        <w:jc w:val="both"/>
      </w:pPr>
      <w:r>
        <w:rPr>
          <w:rStyle w:val="style16"/>
        </w:rPr>
        <w:t>Сроком, в течение которого Эмитенту по указанному в настоящем решении о дополнительном выпуске ценных бумаг адресу от лиц, включенных в Список и желающих реализовать свое преимущественное право приобретения дополнительных акций Эмитента, должны поступить Заявления с приложенными документами об оплате приобретаемых дополнительных акций, является период начиная с одиннадцатого дня с даты получения Эмитентом уведомления регистрирующего органа о государственной регистрации дополнительного выпуска ценных бумаг и заканчивая пятьдесят пятым днем с даты получения Эмитентом уведомления регистрирующего органа о государственной регистрации дополнительного выпуска ценных бумаг включительно. Включенные в Список лица, Заявления с приложенными документами об оплате приобретаемых дополнительных акций от которых не поступили Эмитенту в указанный срок по обозначенному адресу, считаются отказавшимися от реализации своего преимущественного права приобретения дополнительных акций Эмитента.</w:t>
      </w:r>
    </w:p>
    <w:p>
      <w:pPr>
        <w:pStyle w:val="style41"/>
        <w:jc w:val="both"/>
      </w:pPr>
      <w:r>
        <w:rPr>
          <w:rStyle w:val="style16"/>
          <w:i w:val="false"/>
          <w:sz w:val="23"/>
        </w:rPr>
        <w:t>При размещении ценных бумаг, оставшихся неразмещенными по итогам осуществления преимущественного права приобретения дополнительных акций Эмитента:</w:t>
      </w:r>
    </w:p>
    <w:p>
      <w:pPr>
        <w:pStyle w:val="style0"/>
        <w:jc w:val="both"/>
      </w:pPr>
      <w:r>
        <w:rPr>
          <w:rStyle w:val="style16"/>
        </w:rPr>
        <w:t>После заключения Эмитентом и ОАО «АВТОВАЗ» договора купли-продажи акций, оставшихся неразмещенными по итогам осуществления преимущественного права приобретения дополнительных акций Эмитента, в случае оплаты открытым акционерным обществом «АВТОВАЗ» акций путем зачета денежных требований ОАО «АВТОВАЗ» предоставляет Эмитенту заявление о зачете встречных денежных требований, подписанное должным образом уполномоченным представителем ОАО «АВТОВАЗ» и содержащее следующие сведения:</w:t>
      </w:r>
    </w:p>
    <w:p>
      <w:pPr>
        <w:pStyle w:val="style0"/>
        <w:jc w:val="both"/>
      </w:pPr>
      <w:r>
        <w:rPr>
          <w:rStyle w:val="style16"/>
        </w:rPr>
        <w:t>- полное фирменное наименование, место нахождения и данные о государственной регистрации ОАО «АВТОВАЗ»;</w:t>
      </w:r>
    </w:p>
    <w:p>
      <w:pPr>
        <w:pStyle w:val="style0"/>
        <w:jc w:val="both"/>
      </w:pPr>
      <w:r>
        <w:rPr>
          <w:rStyle w:val="style16"/>
        </w:rPr>
        <w:t>- основания возникновения денежных требований к Эмитенту, которые ОАО «АВТОВАЗ» предъявляет к зачету во исполнение своих денежных обязательств перед Эмитентом по оплате приобретаемых акций;</w:t>
      </w:r>
    </w:p>
    <w:p>
      <w:pPr>
        <w:pStyle w:val="style0"/>
        <w:jc w:val="both"/>
      </w:pPr>
      <w:r>
        <w:rPr>
          <w:rStyle w:val="style16"/>
        </w:rPr>
        <w:t>- сумма денежных требований по каждому такому основанию, которые ОАО «АВТОВАЗ» предъявляет Эмитенту к зачету во исполнение своих денежных обязательств перед Эмитентом по оплате приобретаемых акций.</w:t>
      </w:r>
    </w:p>
    <w:p>
      <w:pPr>
        <w:pStyle w:val="style0"/>
        <w:jc w:val="both"/>
      </w:pPr>
      <w:r>
        <w:rPr>
          <w:rStyle w:val="style16"/>
        </w:rPr>
        <w:t>ОАО «АВТОВАЗ» должно предоставить Эмитенту заявление о зачете встречных денежных требований не позднее 75 (Семьдесят пять) дней с даты получения Эмитентом уведомления регистрирующего органа о государственной регистрации дополнительного выпуска ценных бумаг.</w:t>
      </w:r>
    </w:p>
    <w:p>
      <w:pPr>
        <w:pStyle w:val="style1"/>
        <w:spacing w:after="40" w:before="120"/>
        <w:jc w:val="both"/>
      </w:pPr>
      <w:r>
        <w:rPr/>
        <w:t>8.7. Доля, при неразмещении которой дополнительный выпуск ценных бумаг считается несостоявшимся, а также порядок возврата средств, переданных в оплату ценных бумаг дополнительного выпуска, в случае признания его несостоявшимся</w:t>
      </w:r>
    </w:p>
    <w:p>
      <w:pPr>
        <w:pStyle w:val="style0"/>
        <w:jc w:val="both"/>
      </w:pPr>
      <w:r>
        <w:rPr>
          <w:rStyle w:val="style16"/>
        </w:rPr>
        <w:t>Доля, при неразмещении которой дополнительный выпуск ценных бумаг считается несостоявшимся, не установлена</w:t>
      </w:r>
    </w:p>
    <w:p>
      <w:pPr>
        <w:pStyle w:val="style1"/>
        <w:jc w:val="both"/>
      </w:pPr>
      <w:r>
        <w:rPr/>
        <w:t>9. Условия погашения и выплаты доходов по облигациям.</w:t>
      </w:r>
    </w:p>
    <w:p>
      <w:pPr>
        <w:pStyle w:val="style0"/>
        <w:jc w:val="both"/>
      </w:pPr>
      <w:r>
        <w:rPr>
          <w:rStyle w:val="style16"/>
        </w:rPr>
        <w:t>Сведения не указываются для размещаемых ценных бумаг данного вида</w:t>
      </w:r>
    </w:p>
    <w:p>
      <w:pPr>
        <w:pStyle w:val="style1"/>
      </w:pPr>
      <w:r>
        <w:rPr/>
        <w:t>10. Сведения о приобретении облигаций.</w:t>
      </w:r>
    </w:p>
    <w:p>
      <w:pPr>
        <w:pStyle w:val="style0"/>
        <w:jc w:val="both"/>
      </w:pPr>
      <w:r>
        <w:rPr>
          <w:rStyle w:val="style16"/>
        </w:rPr>
        <w:t>Сведения не указываются для размещаемых ценных бумаг данного вида</w:t>
      </w:r>
    </w:p>
    <w:p>
      <w:pPr>
        <w:pStyle w:val="style1"/>
        <w:jc w:val="both"/>
      </w:pPr>
      <w:r>
        <w:rPr/>
        <w:t>11. Порядок раскрытия эмитентом информации о дополнительном выпуске ценных бумаг.</w:t>
      </w:r>
    </w:p>
    <w:p>
      <w:pPr>
        <w:pStyle w:val="style41"/>
        <w:jc w:val="both"/>
      </w:pPr>
      <w:r>
        <w:rPr>
          <w:rStyle w:val="style16"/>
          <w:i w:val="false"/>
          <w:sz w:val="23"/>
        </w:rPr>
        <w:t>Информация раскрывается путем направления, или вручения, или предоставления адресатам соответствующего письменного сообщения:</w:t>
      </w:r>
    </w:p>
    <w:p>
      <w:pPr>
        <w:pStyle w:val="style0"/>
        <w:jc w:val="both"/>
      </w:pPr>
      <w:r>
        <w:rPr>
          <w:rStyle w:val="style16"/>
        </w:rPr>
        <w:t>1) Не позднее 10 (Десять) дней с даты получения Эмитентом уведомления регистрирующего органа о государственной регистрации дополнительного выпуска ценных бумаг Эмитент уведомляет лиц, включенных в Список, о возможности осуществления ими преимущественного права приобретения дополнительных акций Эмитента. Уведомление осуществляется путем направления каждому лицу, включенному в Список, заказным письмом или вручения каждому лицу, включенному в Список, или его должным образом уполномоченному представителю под роспись сообщения о принятии регистрирующим органом решения о государственной регистрации дополнительного выпуска ценных бумаг Эмитента, о дате получения Эмитентом уведомления регистрирующего органа о государственной регистрации дополнительного выпуска ценных бумаг Эмитента и о возможности осуществления лицами, включенными в Список, преимущественного права приобретения дополнительных акций Эмитента. В данном сообщении указываются также вид, категория и количество размещаемых ценных бумаг, цена их размещения (в том числе при осуществлении преимущественного права приобретения дополнительных акций Эмитента), форма оплаты размещаемых дополнительных акций Эмитента (денежными средствами в валюте Российской Федерации по безналичному расчету с возможностью оплаты приобретаемых ценных бумаг путем зачета денежных требований к Эмитенту), платежные (банковские) реквизиты Эмитента, по которым должны перечисляться денежные средства в оплату приобретаемых дополнительных акций, порядок направления заявлений о зачете денежных требований к Эмитенту в оплату приобретаемых дополнительных акций, порядок определения количества ценных бумаг, которое вправе приобрести каждое лицо, включенное в Список, порядок, в котором Заявления должны быть поданы Эмитенту, а также срок, в течение которого Заявления должны поступить Эмитенту.</w:t>
      </w:r>
    </w:p>
    <w:p>
      <w:pPr>
        <w:pStyle w:val="style0"/>
        <w:jc w:val="both"/>
      </w:pPr>
      <w:r>
        <w:rPr>
          <w:rStyle w:val="style16"/>
        </w:rPr>
        <w:t>2) В шестидесятый день с даты получения Эмитентом уведомления регистрирующего органа о государственной регистрации дополнительного выпуска ценных бумаг Эмитент предоставляет утвержденный генеральным директором Эмитента отчет об итогах осуществления преимущественного права приобретения дополнительных акций вместе с сопроводительным письмом в канцелярию открытого акционерного общества «АВТОВАЗ». В сопроводительном письме указывается срок, в течение которого должным образом уполномоченные представители Эмитента и ОАО «АВТОВАЗ» должны согласовать и заключить договор купли-продажи акций, оставшихся неразмещенными по итогам осуществления преимущественного права приобретения дополнительных акций Эмитента.</w:t>
      </w:r>
    </w:p>
    <w:p>
      <w:pPr>
        <w:pStyle w:val="style0"/>
        <w:jc w:val="both"/>
      </w:pPr>
      <w:r>
        <w:rPr>
          <w:rStyle w:val="style16"/>
        </w:rPr>
        <w:t>Отчет об итогах осуществления преимущественного права приобретения дополнительных акций содержит следующую информацию:</w:t>
      </w:r>
    </w:p>
    <w:p>
      <w:pPr>
        <w:pStyle w:val="style0"/>
        <w:jc w:val="both"/>
      </w:pPr>
      <w:r>
        <w:rPr>
          <w:rStyle w:val="style16"/>
        </w:rPr>
        <w:t>-</w:t>
      </w:r>
      <w:r>
        <w:rPr>
          <w:rStyle w:val="style16"/>
          <w:lang w:val="en-US"/>
        </w:rPr>
        <w:t> </w:t>
      </w:r>
      <w:r>
        <w:rPr>
          <w:rStyle w:val="style16"/>
        </w:rPr>
        <w:t>государственный регистрационный номер дополнительного выпуска ценных бумаг Эмитента;</w:t>
      </w:r>
    </w:p>
    <w:p>
      <w:pPr>
        <w:pStyle w:val="style0"/>
        <w:jc w:val="both"/>
      </w:pPr>
      <w:r>
        <w:rPr>
          <w:rStyle w:val="style16"/>
        </w:rPr>
        <w:t>-</w:t>
      </w:r>
      <w:r>
        <w:rPr>
          <w:rStyle w:val="style16"/>
          <w:lang w:val="en-US"/>
        </w:rPr>
        <w:t> </w:t>
      </w:r>
      <w:r>
        <w:rPr>
          <w:rStyle w:val="style16"/>
        </w:rPr>
        <w:t>дата государственной регистрации дополнительного выпуска ценных бумаг Эмитента и орган, ее осуществивший;</w:t>
      </w:r>
    </w:p>
    <w:p>
      <w:pPr>
        <w:pStyle w:val="style0"/>
        <w:jc w:val="both"/>
      </w:pPr>
      <w:r>
        <w:rPr>
          <w:rStyle w:val="style16"/>
        </w:rPr>
        <w:t>- дата получения Эмитентом уведомления регистрирующего органа о государственной регистрации дополнительного выпуска ценных бумаг Эмитента;</w:t>
      </w:r>
    </w:p>
    <w:p>
      <w:pPr>
        <w:pStyle w:val="style0"/>
        <w:jc w:val="both"/>
      </w:pPr>
      <w:r>
        <w:rPr>
          <w:rStyle w:val="style16"/>
        </w:rPr>
        <w:t>- вид, категория и количество ценных бумаг Эмитента дополнительного выпуска;</w:t>
      </w:r>
    </w:p>
    <w:p>
      <w:pPr>
        <w:pStyle w:val="style0"/>
        <w:jc w:val="both"/>
      </w:pPr>
      <w:r>
        <w:rPr>
          <w:rStyle w:val="style16"/>
        </w:rPr>
        <w:t>- количество акций Эмитента дополнительного выпуска, приобретенных (полностью оплаченных и зачисленных на лицевые счета приобретателей в реестре владельцев именных ценных бумаг Эмитента) в процессе осуществления преимущественного права приобретения дополнительных акций Эмитента;</w:t>
      </w:r>
    </w:p>
    <w:p>
      <w:pPr>
        <w:pStyle w:val="style0"/>
        <w:jc w:val="both"/>
      </w:pPr>
      <w:r>
        <w:rPr>
          <w:rStyle w:val="style16"/>
        </w:rPr>
        <w:t>- количество акций Эмитента дополнительного выпуска, оставшихся неразмещенными по итогам осуществления преимущественного права приобретения дополнительных акций Эмитента.</w:t>
      </w:r>
    </w:p>
    <w:p>
      <w:pPr>
        <w:pStyle w:val="style41"/>
        <w:jc w:val="both"/>
      </w:pPr>
      <w:r>
        <w:rPr>
          <w:rStyle w:val="style16"/>
          <w:i w:val="false"/>
          <w:sz w:val="23"/>
        </w:rPr>
        <w:t>Государственная регистрация дополнительного выпуска ценных бумаг регистрацией проспекта ценных бумаг не сопровождается.</w:t>
      </w:r>
    </w:p>
    <w:p>
      <w:pPr>
        <w:pStyle w:val="style41"/>
        <w:jc w:val="both"/>
      </w:pPr>
      <w:r>
        <w:rPr>
          <w:rStyle w:val="style16"/>
          <w:i w:val="false"/>
          <w:sz w:val="23"/>
        </w:rPr>
        <w:t>Информация путем опубликования в периодическом печатном издании (изданиях) не раскрывается.</w:t>
      </w:r>
    </w:p>
    <w:p>
      <w:pPr>
        <w:pStyle w:val="style41"/>
        <w:jc w:val="both"/>
      </w:pPr>
      <w:r>
        <w:rPr>
          <w:rStyle w:val="style16"/>
          <w:i w:val="false"/>
          <w:sz w:val="23"/>
        </w:rPr>
        <w:t>Информация раскрывается путем ее опубликования на странице в сети Интернет:</w:t>
      </w:r>
    </w:p>
    <w:p>
      <w:pPr>
        <w:pStyle w:val="style41"/>
        <w:jc w:val="both"/>
      </w:pPr>
      <w:r>
        <w:rPr>
          <w:rStyle w:val="style16"/>
          <w:i w:val="false"/>
          <w:sz w:val="23"/>
        </w:rPr>
        <w:t xml:space="preserve">Адрес такой страницы в сети Интернет: </w:t>
      </w:r>
      <w:hyperlink r:id="rId5">
        <w:r>
          <w:rPr>
            <w:rStyle w:val="style16"/>
            <w:rStyle w:val="style18"/>
          </w:rPr>
          <w:t>http://www.disclosure.ru/issuer/6320008240/</w:t>
        </w:r>
      </w:hyperlink>
    </w:p>
    <w:p>
      <w:pPr>
        <w:pStyle w:val="style0"/>
        <w:jc w:val="both"/>
      </w:pPr>
      <w:r>
        <w:rPr>
          <w:rStyle w:val="style16"/>
        </w:rPr>
        <w:t>1) Эмитент опубликовывает на указанной странице в сети Интернет текст зарегистрированного настоящего решения о дополнительном выпуске ценных бумаг. Публикация осуществляется в срок не более 2 (Два) дней с даты опубликования информации о государственной регистрации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настоящего решения о дополнительном выпуске ценных бумаг на странице в сети Интернет указываются государственный регистрационный номер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дополнительного выпуска ценных бумаг.</w:t>
      </w:r>
    </w:p>
    <w:p>
      <w:pPr>
        <w:pStyle w:val="style0"/>
        <w:jc w:val="both"/>
      </w:pPr>
      <w:r>
        <w:rPr>
          <w:rStyle w:val="style16"/>
        </w:rPr>
        <w:t>В случае внесения изменений в зарегистрированное настоящее решение о дополнительном выпуске ценных бумаг Эмитент опубликовывает на указанной странице в сети Интернет текст таких зарегистрированных изменений. Публикация осуществляется в срок не более 2 (Два) дней с даты опубликования информации о регистрации таких изменений на странице регистрирующего органа в сети Интернет или получения Эмитентом письменного уведомления регистрирующего органа о регистрации указанных изменений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зарегистрированных изменений, внесенных в зарегистрированное настоящее решение о дополнительном выпуске ценных бумаг, на странице в сети Интернет должны быть указаны дата регистрации и наименование регистрирующего органа, осуществившего регистрацию указанных изменений.</w:t>
      </w:r>
    </w:p>
    <w:p>
      <w:pPr>
        <w:pStyle w:val="style0"/>
        <w:jc w:val="both"/>
      </w:pPr>
      <w:r>
        <w:rPr>
          <w:rStyle w:val="style16"/>
        </w:rPr>
        <w:t>Текст зарегистрированного решения о дополнительном выпуске ценных бумаг (текст зарегистрированных изменений, внесенных в зарегистрированное решение о дополнительном выпуске ценных бумаг) должен быть доступен в сети Интернет с даты истечения срока, установленного Положением о раскрытии информации эмитентами эмиссионных ценных бумаг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дополнительного выпуска.</w:t>
      </w:r>
    </w:p>
    <w:p>
      <w:pPr>
        <w:pStyle w:val="style0"/>
        <w:jc w:val="both"/>
      </w:pPr>
      <w:r>
        <w:rPr>
          <w:rStyle w:val="style16"/>
        </w:rPr>
        <w:t>2) Эмитент опубликовывает на указанной странице в сети Интернет текст утвержденного генеральным директором Эмитента отчета об итогах осуществления преимущественного права приобретения дополнительных акций. Публикация осуществляется в шестидесятый день с даты получения Эмитентом уведомления регистрирующего органа о государственной регистрации дополнительного выпуска ценных бумаг.</w:t>
      </w:r>
    </w:p>
    <w:p>
      <w:pPr>
        <w:pStyle w:val="style0"/>
        <w:jc w:val="both"/>
      </w:pPr>
      <w:r>
        <w:rPr>
          <w:rStyle w:val="style16"/>
        </w:rPr>
        <w:t>Отчет об итогах осуществления преимущественного права приобретения дополнительных акций содержит следующую информацию:</w:t>
      </w:r>
    </w:p>
    <w:p>
      <w:pPr>
        <w:pStyle w:val="style0"/>
        <w:jc w:val="both"/>
      </w:pPr>
      <w:r>
        <w:rPr>
          <w:rStyle w:val="style16"/>
        </w:rPr>
        <w:t>-</w:t>
      </w:r>
      <w:r>
        <w:rPr>
          <w:rStyle w:val="style16"/>
          <w:lang w:val="en-US"/>
        </w:rPr>
        <w:t> </w:t>
      </w:r>
      <w:r>
        <w:rPr>
          <w:rStyle w:val="style16"/>
        </w:rPr>
        <w:t>государственный регистрационный номер дополнительного выпуска ценных бумаг Эмитента;</w:t>
      </w:r>
    </w:p>
    <w:p>
      <w:pPr>
        <w:pStyle w:val="style0"/>
        <w:jc w:val="both"/>
      </w:pPr>
      <w:r>
        <w:rPr>
          <w:rStyle w:val="style16"/>
        </w:rPr>
        <w:t>-</w:t>
      </w:r>
      <w:r>
        <w:rPr>
          <w:rStyle w:val="style16"/>
          <w:lang w:val="en-US"/>
        </w:rPr>
        <w:t> </w:t>
      </w:r>
      <w:r>
        <w:rPr>
          <w:rStyle w:val="style16"/>
        </w:rPr>
        <w:t>дата государственной регистрации дополнительного выпуска ценных бумаг Эмитента и орган, ее осуществивший;</w:t>
      </w:r>
    </w:p>
    <w:p>
      <w:pPr>
        <w:pStyle w:val="style0"/>
        <w:jc w:val="both"/>
      </w:pPr>
      <w:r>
        <w:rPr>
          <w:rStyle w:val="style16"/>
        </w:rPr>
        <w:t>- дата получения Эмитентом уведомления регистрирующего органа о государственной регистрации дополнительного выпуска ценных бумаг Эмитента;</w:t>
      </w:r>
    </w:p>
    <w:p>
      <w:pPr>
        <w:pStyle w:val="style0"/>
        <w:jc w:val="both"/>
      </w:pPr>
      <w:r>
        <w:rPr>
          <w:rStyle w:val="style16"/>
        </w:rPr>
        <w:t>- вид, категория и количество ценных бумаг Эмитента дополнительного выпуска;</w:t>
      </w:r>
    </w:p>
    <w:p>
      <w:pPr>
        <w:pStyle w:val="style0"/>
        <w:jc w:val="both"/>
      </w:pPr>
      <w:r>
        <w:rPr>
          <w:rStyle w:val="style16"/>
        </w:rPr>
        <w:t>- количество акций Эмитента дополнительного выпуска, приобретенных (полностью оплаченных и зачисленных на лицевые счета приобретателей в реестре владельцев именных ценных бумаг Эмитента) в процессе осуществления преимущественного права приобретения дополнительных акций Эмитента;</w:t>
      </w:r>
    </w:p>
    <w:p>
      <w:pPr>
        <w:pStyle w:val="style0"/>
        <w:jc w:val="both"/>
      </w:pPr>
      <w:r>
        <w:rPr>
          <w:rStyle w:val="style16"/>
        </w:rPr>
        <w:t>- количество акций Эмитента дополнительного выпуска, оставшихся неразмещенными по итогам осуществления преимущественного права приобретения дополнительных акций Эмитента.</w:t>
      </w:r>
    </w:p>
    <w:p>
      <w:pPr>
        <w:pStyle w:val="style41"/>
        <w:jc w:val="both"/>
      </w:pPr>
      <w:r>
        <w:rPr>
          <w:rStyle w:val="style16"/>
          <w:i w:val="false"/>
          <w:sz w:val="23"/>
        </w:rPr>
        <w:t>Эмитент не обязан раскрывать и не раскрывает информацию в форме ежеквартального отчета и сообщений о существенных фактах (событиях, действиях), затрагивающих его финансово-хозяйственную деятельность.</w:t>
      </w:r>
    </w:p>
    <w:p>
      <w:pPr>
        <w:pStyle w:val="style0"/>
        <w:spacing w:after="40" w:before="120"/>
        <w:jc w:val="both"/>
      </w:pPr>
      <w:r>
        <w:rPr>
          <w:rStyle w:val="style16"/>
        </w:rPr>
        <w:t>Эмитент и/или регистратор, осуществляющий ведение реестра владельцев именных ценных бумаг Эмитента, по требованию заинтересованного лица обязан предоставить ему копию настоящего решения о дополнительном выпуске ценных бумаг за плату, не превышающую затраты на ее изготовление.</w:t>
      </w:r>
    </w:p>
    <w:p>
      <w:pPr>
        <w:pStyle w:val="style1"/>
        <w:jc w:val="both"/>
      </w:pPr>
      <w:r>
        <w:rPr/>
        <w:t>12. Сведения об обеспечении исполнения обязательств по облигациям выпуска (дополнительного выпуска).</w:t>
      </w:r>
    </w:p>
    <w:p>
      <w:pPr>
        <w:pStyle w:val="style0"/>
        <w:jc w:val="both"/>
      </w:pPr>
      <w:r>
        <w:rPr>
          <w:rStyle w:val="style16"/>
        </w:rPr>
        <w:t>Сведения не указываются для размещаемых ценных бумаг данного вида</w:t>
      </w:r>
    </w:p>
    <w:p>
      <w:pPr>
        <w:pStyle w:val="style1"/>
        <w:jc w:val="both"/>
      </w:pPr>
      <w:r>
        <w:rPr/>
        <w:t>13.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pPr>
        <w:pStyle w:val="style0"/>
        <w:jc w:val="both"/>
      </w:pPr>
      <w:r>
        <w:rPr>
          <w:rStyle w:val="style16"/>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pPr>
        <w:pStyle w:val="style1"/>
        <w:jc w:val="both"/>
      </w:pPr>
      <w:r>
        <w:rPr/>
        <w:t>14.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pPr>
        <w:pStyle w:val="style0"/>
        <w:jc w:val="both"/>
      </w:pPr>
      <w:r>
        <w:rPr>
          <w:rStyle w:val="style16"/>
        </w:rPr>
        <w:t>Сведения не указываются для размещаемых ценных бумаг данного вида</w:t>
      </w:r>
    </w:p>
    <w:p>
      <w:pPr>
        <w:pStyle w:val="style1"/>
        <w:jc w:val="both"/>
      </w:pPr>
      <w:r>
        <w:rPr/>
        <w:t>15. Иные сведения, предусмотренные Стандартами эмиссии ценных бумаг и регистрации проспектов ценных бумаг.</w:t>
      </w:r>
    </w:p>
    <w:p>
      <w:pPr>
        <w:pStyle w:val="style0"/>
        <w:spacing w:after="40" w:before="20"/>
        <w:jc w:val="both"/>
      </w:pPr>
      <w:r>
        <w:rPr>
          <w:rStyle w:val="style16"/>
        </w:rPr>
        <w:t>Отсутствуют</w:t>
      </w:r>
    </w:p>
    <w:sectPr>
      <w:type w:val="nextPage"/>
      <w:pgSz w:h="16838" w:w="11906"/>
      <w:pgMar w:bottom="737" w:footer="0" w:gutter="0" w:header="0" w:left="1985" w:right="680" w:top="737"/>
      <w:pgNumType w:fmt="decimal"/>
      <w:formProt w:val="false"/>
      <w:titlePg/>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val="false"/>
      <w:tabs>
        <w:tab w:leader="none" w:pos="720" w:val="left"/>
      </w:tabs>
      <w:suppressAutoHyphens w:val="true"/>
      <w:spacing w:after="40" w:before="20"/>
    </w:pPr>
    <w:rPr>
      <w:rFonts w:ascii="Times New Roman" w:cs="Times New Roman" w:eastAsia="Times New Roman" w:hAnsi="Times New Roman"/>
      <w:color w:val="auto"/>
      <w:sz w:val="22"/>
      <w:szCs w:val="22"/>
      <w:lang w:bidi="ar-SA" w:eastAsia="ru-RU" w:val="ru-RU"/>
    </w:rPr>
  </w:style>
  <w:style w:styleId="style1" w:type="paragraph">
    <w:name w:val="Заголовок 1"/>
    <w:basedOn w:val="style0"/>
    <w:next w:val="style24"/>
    <w:pPr>
      <w:keepNext/>
      <w:widowControl w:val="false"/>
      <w:spacing w:after="40" w:before="360"/>
    </w:pPr>
    <w:rPr>
      <w:b/>
      <w:bCs/>
      <w:color w:val="auto"/>
      <w:sz w:val="24"/>
      <w:szCs w:val="24"/>
    </w:rPr>
  </w:style>
  <w:style w:styleId="style2" w:type="paragraph">
    <w:name w:val="Заголовок 2"/>
    <w:basedOn w:val="style0"/>
    <w:next w:val="style24"/>
    <w:pPr>
      <w:keepNext/>
      <w:numPr>
        <w:ilvl w:val="1"/>
        <w:numId w:val="1"/>
      </w:numPr>
      <w:shd w:fill="00FFFF" w:val="clear"/>
      <w:outlineLvl w:val="1"/>
    </w:pPr>
    <w:rPr/>
  </w:style>
  <w:style w:styleId="style3" w:type="paragraph">
    <w:name w:val="Заголовок 3"/>
    <w:basedOn w:val="style0"/>
    <w:next w:val="style24"/>
    <w:pPr>
      <w:keepNext/>
      <w:numPr>
        <w:ilvl w:val="2"/>
        <w:numId w:val="1"/>
      </w:numPr>
      <w:pBdr>
        <w:bottom w:color="00000A" w:space="0" w:sz="4" w:val="single"/>
      </w:pBdr>
      <w:spacing w:after="0" w:before="30"/>
      <w:outlineLvl w:val="2"/>
    </w:pPr>
    <w:rPr>
      <w:i/>
      <w:sz w:val="18"/>
    </w:rPr>
  </w:style>
  <w:style w:styleId="style4" w:type="paragraph">
    <w:name w:val="Заголовок 4"/>
    <w:basedOn w:val="style0"/>
    <w:next w:val="style24"/>
    <w:pPr>
      <w:keepNext/>
      <w:numPr>
        <w:ilvl w:val="3"/>
        <w:numId w:val="1"/>
      </w:numPr>
      <w:jc w:val="both"/>
      <w:outlineLvl w:val="3"/>
    </w:pPr>
    <w:rPr/>
  </w:style>
  <w:style w:styleId="style5" w:type="paragraph">
    <w:name w:val="Заголовок 5"/>
    <w:basedOn w:val="style0"/>
    <w:next w:val="style24"/>
    <w:pPr>
      <w:keepNext/>
      <w:numPr>
        <w:ilvl w:val="4"/>
        <w:numId w:val="1"/>
      </w:numPr>
      <w:spacing w:after="20" w:before="160"/>
      <w:jc w:val="center"/>
      <w:outlineLvl w:val="4"/>
    </w:pPr>
    <w:rPr>
      <w:b/>
      <w:i/>
    </w:rPr>
  </w:style>
  <w:style w:styleId="style15" w:type="character">
    <w:name w:val="Default Paragraph Font"/>
    <w:next w:val="style15"/>
    <w:rPr/>
  </w:style>
  <w:style w:styleId="style16" w:type="character">
    <w:name w:val="__SUBST"/>
    <w:next w:val="style16"/>
    <w:rPr>
      <w:b/>
      <w:bCs/>
      <w:i/>
      <w:iCs/>
      <w:sz w:val="22"/>
      <w:szCs w:val="22"/>
    </w:rPr>
  </w:style>
  <w:style w:styleId="style17" w:type="character">
    <w:name w:val="page number"/>
    <w:basedOn w:val="style15"/>
    <w:next w:val="style17"/>
    <w:rPr/>
  </w:style>
  <w:style w:styleId="style18" w:type="character">
    <w:name w:val="Интернет-ссылка"/>
    <w:basedOn w:val="style15"/>
    <w:next w:val="style18"/>
    <w:rPr>
      <w:color w:val="0000FF"/>
      <w:u w:val="single"/>
      <w:lang w:bidi="ru-RU" w:eastAsia="ru-RU" w:val="ru-RU"/>
    </w:rPr>
  </w:style>
  <w:style w:styleId="style19" w:type="character">
    <w:name w:val="ListLabel 1"/>
    <w:next w:val="style19"/>
    <w:rPr>
      <w:b w:val="false"/>
      <w:i w:val="false"/>
      <w:sz w:val="24"/>
    </w:rPr>
  </w:style>
  <w:style w:styleId="style20" w:type="character">
    <w:name w:val="ListLabel 2"/>
    <w:next w:val="style20"/>
    <w:rPr>
      <w:rFonts w:cs="Times New Roman" w:eastAsia="Times New Roman"/>
    </w:rPr>
  </w:style>
  <w:style w:styleId="style21" w:type="character">
    <w:name w:val="ListLabel 3"/>
    <w:next w:val="style21"/>
    <w:rPr>
      <w:rFonts w:cs="Courier New"/>
    </w:rPr>
  </w:style>
  <w:style w:styleId="style22" w:type="character">
    <w:name w:val="ListLabel 4"/>
    <w:next w:val="style22"/>
    <w:rPr>
      <w:i w:val="false"/>
      <w:sz w:val="28"/>
      <w:szCs w:val="28"/>
    </w:rPr>
  </w:style>
  <w:style w:styleId="style23" w:type="paragraph">
    <w:name w:val="Заголовок"/>
    <w:basedOn w:val="style0"/>
    <w:next w:val="style24"/>
    <w:pPr>
      <w:keepNext/>
      <w:spacing w:after="120" w:before="240"/>
    </w:pPr>
    <w:rPr>
      <w:rFonts w:ascii="Arial" w:cs="Mangal" w:eastAsia="Lucida Sans Unicode" w:hAnsi="Arial"/>
      <w:sz w:val="28"/>
      <w:szCs w:val="28"/>
    </w:rPr>
  </w:style>
  <w:style w:styleId="style24" w:type="paragraph">
    <w:name w:val="Основной текст"/>
    <w:basedOn w:val="style0"/>
    <w:next w:val="style24"/>
    <w:pPr>
      <w:spacing w:after="40" w:before="960"/>
      <w:jc w:val="center"/>
    </w:pPr>
    <w:rPr>
      <w:b/>
      <w:bCs/>
      <w:sz w:val="40"/>
      <w:szCs w:val="40"/>
    </w:rPr>
  </w:style>
  <w:style w:styleId="style25" w:type="paragraph">
    <w:name w:val="Список"/>
    <w:basedOn w:val="style24"/>
    <w:next w:val="style25"/>
    <w:pPr/>
    <w:rPr>
      <w:rFonts w:cs="Mangal"/>
    </w:rPr>
  </w:style>
  <w:style w:styleId="style26" w:type="paragraph">
    <w:name w:val="Название"/>
    <w:basedOn w:val="style0"/>
    <w:next w:val="style26"/>
    <w:pPr>
      <w:suppressLineNumbers/>
      <w:spacing w:after="120" w:before="120"/>
    </w:pPr>
    <w:rPr>
      <w:rFonts w:cs="Mangal"/>
      <w:i/>
      <w:iCs/>
      <w:sz w:val="24"/>
      <w:szCs w:val="24"/>
    </w:rPr>
  </w:style>
  <w:style w:styleId="style27" w:type="paragraph">
    <w:name w:val="Указатель"/>
    <w:basedOn w:val="style0"/>
    <w:next w:val="style27"/>
    <w:pPr>
      <w:suppressLineNumbers/>
    </w:pPr>
    <w:rPr>
      <w:rFonts w:cs="Mangal"/>
    </w:rPr>
  </w:style>
  <w:style w:styleId="style28" w:type="paragraph">
    <w:name w:val="Table Text"/>
    <w:next w:val="style28"/>
    <w:pPr>
      <w:widowControl w:val="false"/>
      <w:tabs>
        <w:tab w:leader="none" w:pos="720" w:val="left"/>
      </w:tabs>
      <w:suppressAutoHyphens w:val="true"/>
      <w:spacing w:after="20" w:before="20"/>
    </w:pPr>
    <w:rPr>
      <w:rFonts w:ascii="Times New Roman" w:cs="Times New Roman" w:eastAsia="Times New Roman" w:hAnsi="Times New Roman"/>
      <w:color w:val="auto"/>
      <w:sz w:val="20"/>
      <w:szCs w:val="20"/>
      <w:lang w:bidi="ar-SA" w:eastAsia="ru-RU" w:val="ru-RU"/>
    </w:rPr>
  </w:style>
  <w:style w:styleId="style29" w:type="paragraph">
    <w:name w:val="Table Text 1"/>
    <w:next w:val="style29"/>
    <w:pPr>
      <w:widowControl w:val="false"/>
      <w:tabs>
        <w:tab w:leader="none" w:pos="920" w:val="left"/>
      </w:tabs>
      <w:suppressAutoHyphens w:val="true"/>
      <w:spacing w:after="20" w:before="20"/>
      <w:ind w:hanging="0" w:left="200" w:right="0"/>
    </w:pPr>
    <w:rPr>
      <w:rFonts w:ascii="Times New Roman" w:cs="Times New Roman" w:eastAsia="Times New Roman" w:hAnsi="Times New Roman"/>
      <w:color w:val="auto"/>
      <w:sz w:val="20"/>
      <w:szCs w:val="20"/>
      <w:lang w:bidi="ar-SA" w:eastAsia="ru-RU" w:val="ru-RU"/>
    </w:rPr>
  </w:style>
  <w:style w:styleId="style30" w:type="paragraph">
    <w:name w:val="Table Text 2"/>
    <w:next w:val="style30"/>
    <w:pPr>
      <w:widowControl w:val="false"/>
      <w:tabs>
        <w:tab w:leader="none" w:pos="1120" w:val="left"/>
      </w:tabs>
      <w:suppressAutoHyphens w:val="true"/>
      <w:spacing w:after="20" w:before="20"/>
      <w:ind w:hanging="0" w:left="400" w:right="0"/>
    </w:pPr>
    <w:rPr>
      <w:rFonts w:ascii="Times New Roman" w:cs="Times New Roman" w:eastAsia="Times New Roman" w:hAnsi="Times New Roman"/>
      <w:color w:val="auto"/>
      <w:sz w:val="20"/>
      <w:szCs w:val="20"/>
      <w:lang w:bidi="ar-SA" w:eastAsia="ru-RU" w:val="ru-RU"/>
    </w:rPr>
  </w:style>
  <w:style w:styleId="style31" w:type="paragraph">
    <w:name w:val="Table Header"/>
    <w:next w:val="style31"/>
    <w:pPr>
      <w:widowControl w:val="false"/>
      <w:tabs>
        <w:tab w:leader="none" w:pos="720" w:val="left"/>
      </w:tabs>
      <w:suppressAutoHyphens w:val="true"/>
      <w:spacing w:after="40" w:before="40"/>
      <w:jc w:val="center"/>
    </w:pPr>
    <w:rPr>
      <w:rFonts w:ascii="Times New Roman" w:cs="Times New Roman" w:eastAsia="Times New Roman" w:hAnsi="Times New Roman"/>
      <w:b/>
      <w:bCs/>
      <w:color w:val="auto"/>
      <w:sz w:val="20"/>
      <w:szCs w:val="20"/>
      <w:lang w:bidi="ar-SA" w:eastAsia="ru-RU" w:val="ru-RU"/>
    </w:rPr>
  </w:style>
  <w:style w:styleId="style32" w:type="paragraph">
    <w:name w:val="Table Header Numbers"/>
    <w:next w:val="style32"/>
    <w:pPr>
      <w:widowControl w:val="false"/>
      <w:tabs>
        <w:tab w:leader="none" w:pos="720" w:val="left"/>
      </w:tabs>
      <w:suppressAutoHyphens w:val="true"/>
      <w:spacing w:after="20" w:before="20"/>
      <w:jc w:val="center"/>
    </w:pPr>
    <w:rPr>
      <w:rFonts w:ascii="Times New Roman" w:cs="Times New Roman" w:eastAsia="Times New Roman" w:hAnsi="Times New Roman"/>
      <w:color w:val="auto"/>
      <w:sz w:val="18"/>
      <w:szCs w:val="18"/>
      <w:lang w:bidi="ar-SA" w:eastAsia="ru-RU" w:val="ru-RU"/>
    </w:rPr>
  </w:style>
  <w:style w:styleId="style33" w:type="paragraph">
    <w:name w:val="Table Header 2"/>
    <w:next w:val="style33"/>
    <w:pPr>
      <w:widowControl w:val="false"/>
      <w:tabs>
        <w:tab w:leader="none" w:pos="720" w:val="left"/>
      </w:tabs>
      <w:suppressAutoHyphens w:val="true"/>
      <w:jc w:val="center"/>
    </w:pPr>
    <w:rPr>
      <w:rFonts w:ascii="Times New Roman" w:cs="Times New Roman" w:eastAsia="Times New Roman" w:hAnsi="Times New Roman"/>
      <w:b/>
      <w:bCs/>
      <w:color w:val="auto"/>
      <w:sz w:val="18"/>
      <w:szCs w:val="18"/>
      <w:lang w:bidi="ar-SA" w:eastAsia="ru-RU" w:val="ru-RU"/>
    </w:rPr>
  </w:style>
  <w:style w:styleId="style34" w:type="paragraph">
    <w:name w:val="Table Header 3"/>
    <w:next w:val="style34"/>
    <w:pPr>
      <w:widowControl w:val="false"/>
      <w:tabs>
        <w:tab w:leader="none" w:pos="720" w:val="left"/>
      </w:tabs>
      <w:suppressAutoHyphens w:val="true"/>
      <w:spacing w:after="20" w:before="20"/>
    </w:pPr>
    <w:rPr>
      <w:rFonts w:ascii="Times New Roman" w:cs="Times New Roman" w:eastAsia="Times New Roman" w:hAnsi="Times New Roman"/>
      <w:b/>
      <w:bCs/>
      <w:color w:val="auto"/>
      <w:sz w:val="20"/>
      <w:szCs w:val="20"/>
      <w:lang w:bidi="ar-SA" w:eastAsia="ru-RU" w:val="ru-RU"/>
    </w:rPr>
  </w:style>
  <w:style w:styleId="style35" w:type="paragraph">
    <w:name w:val="Верхний колонтитул"/>
    <w:basedOn w:val="style0"/>
    <w:next w:val="style35"/>
    <w:pPr>
      <w:suppressLineNumbers/>
      <w:tabs>
        <w:tab w:leader="none" w:pos="4677" w:val="center"/>
        <w:tab w:leader="none" w:pos="9355" w:val="right"/>
      </w:tabs>
    </w:pPr>
    <w:rPr/>
  </w:style>
  <w:style w:styleId="style36" w:type="paragraph">
    <w:name w:val="Нижний колонтитул"/>
    <w:basedOn w:val="style0"/>
    <w:next w:val="style36"/>
    <w:pPr>
      <w:suppressLineNumbers/>
      <w:tabs>
        <w:tab w:leader="none" w:pos="4677" w:val="center"/>
        <w:tab w:leader="none" w:pos="9355" w:val="right"/>
      </w:tabs>
    </w:pPr>
    <w:rPr/>
  </w:style>
  <w:style w:styleId="style37" w:type="paragraph">
    <w:name w:val="Normal Indent"/>
    <w:basedOn w:val="style0"/>
    <w:next w:val="style37"/>
    <w:pPr>
      <w:spacing w:after="0" w:before="120"/>
      <w:ind w:firstLine="284" w:left="0" w:right="0"/>
      <w:jc w:val="both"/>
    </w:pPr>
    <w:rPr/>
  </w:style>
  <w:style w:styleId="style38" w:type="paragraph">
    <w:name w:val="мальный"/>
    <w:basedOn w:val="style0"/>
    <w:next w:val="style38"/>
    <w:pPr>
      <w:spacing w:after="0" w:before="60" w:line="300" w:lineRule="atLeast"/>
      <w:ind w:firstLine="284" w:left="0" w:right="0"/>
      <w:jc w:val="both"/>
    </w:pPr>
    <w:rPr/>
  </w:style>
  <w:style w:styleId="style39" w:type="paragraph">
    <w:name w:val="Body Text Indent 2"/>
    <w:basedOn w:val="style0"/>
    <w:next w:val="style39"/>
    <w:pPr>
      <w:shd w:fill="00FFFF" w:val="clear"/>
      <w:spacing w:after="0" w:before="120"/>
      <w:ind w:firstLine="284" w:left="0" w:right="0"/>
      <w:jc w:val="both"/>
    </w:pPr>
    <w:rPr/>
  </w:style>
  <w:style w:styleId="style40" w:type="paragraph">
    <w:name w:val="Body Text 2"/>
    <w:basedOn w:val="style0"/>
    <w:next w:val="style40"/>
    <w:pPr>
      <w:spacing w:after="40" w:before="120"/>
    </w:pPr>
    <w:rPr/>
  </w:style>
  <w:style w:styleId="style41" w:type="paragraph">
    <w:name w:val="Body Text 3"/>
    <w:basedOn w:val="style0"/>
    <w:next w:val="style41"/>
    <w:pPr/>
    <w:rPr/>
  </w:style>
  <w:style w:styleId="style42" w:type="paragraph">
    <w:name w:val="ConsTitle"/>
    <w:next w:val="style42"/>
    <w:pPr>
      <w:widowControl w:val="false"/>
      <w:tabs>
        <w:tab w:leader="none" w:pos="720" w:val="left"/>
      </w:tabs>
      <w:suppressAutoHyphens w:val="true"/>
    </w:pPr>
    <w:rPr>
      <w:rFonts w:ascii="Times New Roman" w:cs="Times New Roman" w:eastAsia="Times New Roman" w:hAnsi="Times New Roman"/>
      <w:b/>
      <w:bCs/>
      <w:color w:val="auto"/>
      <w:sz w:val="16"/>
      <w:szCs w:val="16"/>
      <w:lang w:bidi="ar-SA" w:eastAsia="ru-RU" w:val="ru-RU"/>
    </w:rPr>
  </w:style>
  <w:style w:styleId="style43" w:type="paragraph">
    <w:name w:val="ConsPlusNormal"/>
    <w:next w:val="style43"/>
    <w:pPr>
      <w:widowControl w:val="false"/>
      <w:tabs>
        <w:tab w:leader="none" w:pos="720" w:val="left"/>
      </w:tabs>
      <w:suppressAutoHyphens w:val="true"/>
      <w:ind w:firstLine="720" w:left="0" w:right="0"/>
    </w:pPr>
    <w:rPr>
      <w:rFonts w:ascii="Arial" w:cs="Times New Roman" w:eastAsia="Times New Roman" w:hAnsi="Arial"/>
      <w:color w:val="auto"/>
      <w:sz w:val="20"/>
      <w:szCs w:val="20"/>
      <w:lang w:bidi="ar-SA" w:eastAsia="ru-RU" w:val="ru-RU"/>
    </w:rPr>
  </w:style>
  <w:style w:styleId="style44" w:type="paragraph">
    <w:name w:val="ConsNormal"/>
    <w:next w:val="style44"/>
    <w:pPr>
      <w:widowControl w:val="false"/>
      <w:tabs>
        <w:tab w:leader="none" w:pos="720" w:val="left"/>
      </w:tabs>
      <w:suppressAutoHyphens w:val="true"/>
      <w:ind w:firstLine="720" w:left="0" w:right="0"/>
    </w:pPr>
    <w:rPr>
      <w:rFonts w:ascii="Arial" w:cs="Times New Roman" w:eastAsia="Times New Roman" w:hAnsi="Arial"/>
      <w:color w:val="auto"/>
      <w:sz w:val="20"/>
      <w:szCs w:val="20"/>
      <w:lang w:bidi="ar-SA" w:eastAsia="ru-RU" w:val="ru-RU"/>
    </w:rPr>
  </w:style>
  <w:style w:styleId="style45" w:type="paragraph">
    <w:name w:val="Body Text Indent 3"/>
    <w:basedOn w:val="style0"/>
    <w:next w:val="style45"/>
    <w:pPr>
      <w:spacing w:after="120" w:before="20"/>
      <w:ind w:hanging="0" w:left="283" w:right="0"/>
    </w:pPr>
    <w:rPr>
      <w:sz w:val="16"/>
      <w:szCs w:val="16"/>
    </w:rPr>
  </w:style>
  <w:style w:styleId="style46" w:type="paragraph">
    <w:name w:val="Уровень 2"/>
    <w:basedOn w:val="style0"/>
    <w:next w:val="style46"/>
    <w:pPr>
      <w:widowControl/>
      <w:suppressAutoHyphens w:val="true"/>
      <w:overflowPunct w:val="true"/>
      <w:spacing w:after="0" w:before="0" w:line="360" w:lineRule="auto"/>
      <w:jc w:val="both"/>
    </w:pPr>
    <w:rPr>
      <w:sz w:val="28"/>
      <w:szCs w:val="28"/>
      <w:lang w:eastAsia="ar-SA"/>
    </w:rPr>
  </w:style>
  <w:style w:styleId="style47" w:type="paragraph">
    <w:name w:val="List Paragraph"/>
    <w:basedOn w:val="style0"/>
    <w:next w:val="style47"/>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isclosure.ru/issuer/6320008240/" TargetMode="External"/><Relationship Id="rId3" Type="http://schemas.openxmlformats.org/officeDocument/2006/relationships/hyperlink" Target="mailto:office@rostatus.ru" TargetMode="External"/><Relationship Id="rId4" Type="http://schemas.openxmlformats.org/officeDocument/2006/relationships/hyperlink" Target="http://www.disclosure.ru/issuer/6320008240/" TargetMode="External"/><Relationship Id="rId5" Type="http://schemas.openxmlformats.org/officeDocument/2006/relationships/hyperlink" Target="http://www.disclosure.ru/issuer/6320008240/" TargetMode="Externa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2013-02-21T12:36:00.00Z</dcterms:created>
  <dc:creator>User</dc:creator>
  <cp:lastModifiedBy>Homyakov_AI</cp:lastModifiedBy>
  <cp:lastPrinted>2013-01-09T06:27:00.00Z</cp:lastPrinted>
  <dcterms:modified xsi:type="dcterms:W3CDTF">2013-02-26T12:21:00.00Z</dcterms:modified>
  <cp:revision>7</cp:revision>
  <dc:title>Зарегистрировано  "______"_________________  ______г</dc:title>
</cp:coreProperties>
</file>