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5F6FAE" w:rsidRDefault="005F6FAE" w:rsidP="005F6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F6FAE" w:rsidRPr="005F6FAE" w:rsidRDefault="005F6FAE" w:rsidP="005F6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F6FAE">
        <w:rPr>
          <w:rFonts w:ascii="Times New Roman" w:hAnsi="Times New Roman"/>
          <w:bCs/>
          <w:sz w:val="24"/>
          <w:szCs w:val="24"/>
          <w:lang w:eastAsia="ru-RU"/>
        </w:rPr>
        <w:t>Об этапах процедуры эмиссии ценных бумаг эмитента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6FAE" w:rsidRDefault="005F6FAE" w:rsidP="005F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принятии решения о размещении ценных бумаг.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6" w:history="1">
        <w:r w:rsidR="00CA357F" w:rsidRPr="00096E9C">
          <w:rPr>
            <w:rStyle w:val="a7"/>
          </w:rPr>
          <w:t>http://www.disclosure.ru/issuer/3525023780/</w:t>
        </w:r>
      </w:hyperlink>
    </w:p>
    <w:p w:rsidR="00CA357F" w:rsidRDefault="00CA357F" w:rsidP="00CA3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Дата наступления события (существенного факта), о котором составлено </w:t>
      </w:r>
      <w:r w:rsidR="00D74CFB">
        <w:rPr>
          <w:rFonts w:ascii="Times New Roman" w:hAnsi="Times New Roman"/>
          <w:sz w:val="24"/>
          <w:szCs w:val="24"/>
          <w:lang w:eastAsia="ru-RU"/>
        </w:rPr>
        <w:t xml:space="preserve">сообщение (если применимо) – 11 </w:t>
      </w:r>
      <w:r>
        <w:rPr>
          <w:rFonts w:ascii="Times New Roman" w:hAnsi="Times New Roman"/>
          <w:sz w:val="24"/>
          <w:szCs w:val="24"/>
          <w:lang w:eastAsia="ru-RU"/>
        </w:rPr>
        <w:t>сентября 2018 года.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Pr="00DB3A22" w:rsidRDefault="00B11EBD" w:rsidP="00DB3A22">
      <w:pPr>
        <w:pStyle w:val="a5"/>
      </w:pPr>
      <w:r w:rsidRPr="00DB3A22">
        <w:t xml:space="preserve">2. Содержание сообщения </w:t>
      </w:r>
    </w:p>
    <w:p w:rsidR="00B11EBD" w:rsidRDefault="00B11EBD" w:rsidP="00EB136B">
      <w:pPr>
        <w:pStyle w:val="a5"/>
      </w:pPr>
    </w:p>
    <w:p w:rsidR="00EB136B" w:rsidRPr="00CA357F" w:rsidRDefault="00EB136B" w:rsidP="001E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Орган управления эмитента, принявший решение о размещении ценных бумаг, и способ принятия решения:</w:t>
      </w:r>
      <w:r w:rsidR="00CA35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357F">
        <w:rPr>
          <w:rFonts w:ascii="Times New Roman" w:hAnsi="Times New Roman"/>
          <w:sz w:val="24"/>
          <w:szCs w:val="24"/>
        </w:rPr>
        <w:t>Правление;</w:t>
      </w:r>
      <w:r w:rsidR="00CA357F" w:rsidRPr="00CA35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35CB">
        <w:rPr>
          <w:rFonts w:ascii="Times New Roman" w:hAnsi="Times New Roman"/>
          <w:sz w:val="24"/>
          <w:szCs w:val="24"/>
          <w:lang w:eastAsia="ru-RU"/>
        </w:rPr>
        <w:t xml:space="preserve">решение принято на </w:t>
      </w:r>
      <w:r w:rsidR="001E35CB">
        <w:rPr>
          <w:rFonts w:ascii="Times New Roman" w:hAnsi="Times New Roman"/>
          <w:sz w:val="24"/>
          <w:szCs w:val="24"/>
        </w:rPr>
        <w:t>заседании</w:t>
      </w:r>
      <w:r w:rsidRPr="00CA357F">
        <w:rPr>
          <w:rFonts w:ascii="Times New Roman" w:hAnsi="Times New Roman"/>
          <w:sz w:val="24"/>
          <w:szCs w:val="24"/>
        </w:rPr>
        <w:t xml:space="preserve"> Правления, форма </w:t>
      </w:r>
      <w:r w:rsidR="00C57931">
        <w:rPr>
          <w:rFonts w:ascii="Times New Roman" w:hAnsi="Times New Roman"/>
          <w:sz w:val="24"/>
          <w:szCs w:val="24"/>
        </w:rPr>
        <w:t>голосования</w:t>
      </w:r>
      <w:r w:rsidRPr="00CA357F">
        <w:rPr>
          <w:rFonts w:ascii="Times New Roman" w:hAnsi="Times New Roman"/>
          <w:sz w:val="24"/>
          <w:szCs w:val="24"/>
        </w:rPr>
        <w:t>: совместное присутствие.</w:t>
      </w:r>
    </w:p>
    <w:p w:rsidR="001E35CB" w:rsidRDefault="001E35CB" w:rsidP="001E35CB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</w:p>
    <w:p w:rsidR="001E35CB" w:rsidRDefault="00EB136B" w:rsidP="001E35CB">
      <w:pPr>
        <w:pStyle w:val="a3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B136B">
        <w:rPr>
          <w:sz w:val="24"/>
          <w:szCs w:val="24"/>
        </w:rPr>
        <w:t>а</w:t>
      </w:r>
      <w:r>
        <w:rPr>
          <w:sz w:val="24"/>
          <w:szCs w:val="24"/>
        </w:rPr>
        <w:t>та и место проведения заседания</w:t>
      </w:r>
      <w:r w:rsidRPr="00EB136B">
        <w:rPr>
          <w:sz w:val="24"/>
          <w:szCs w:val="24"/>
        </w:rPr>
        <w:t xml:space="preserve"> уполномоченного органа управления эмитента, на котором принято ре</w:t>
      </w:r>
      <w:r>
        <w:rPr>
          <w:sz w:val="24"/>
          <w:szCs w:val="24"/>
        </w:rPr>
        <w:t xml:space="preserve">шение о размещении ценных бумаг: </w:t>
      </w:r>
      <w:r w:rsidRPr="00EB136B">
        <w:rPr>
          <w:sz w:val="24"/>
          <w:szCs w:val="24"/>
        </w:rPr>
        <w:t xml:space="preserve">07 </w:t>
      </w:r>
      <w:r>
        <w:rPr>
          <w:sz w:val="24"/>
          <w:szCs w:val="24"/>
        </w:rPr>
        <w:t xml:space="preserve">сентября 2018 года, </w:t>
      </w:r>
      <w:r w:rsidR="00CA357F">
        <w:rPr>
          <w:sz w:val="24"/>
          <w:szCs w:val="24"/>
        </w:rPr>
        <w:t>160001, г. Вологда, ул. Благовещенская, д.3, каб. 305.</w:t>
      </w:r>
    </w:p>
    <w:p w:rsidR="001E35CB" w:rsidRDefault="001E35CB" w:rsidP="001E35CB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1E35CB" w:rsidRDefault="00EB136B" w:rsidP="001E35CB">
      <w:pPr>
        <w:pStyle w:val="a3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E35CB">
        <w:rPr>
          <w:sz w:val="24"/>
          <w:szCs w:val="24"/>
        </w:rPr>
        <w:t>Дата составления и номер протокола заседания уполномоченного органа управления эмитента, на котором принято решение о размещении ценн</w:t>
      </w:r>
      <w:r w:rsidR="005D45CA" w:rsidRPr="001E35CB">
        <w:rPr>
          <w:sz w:val="24"/>
          <w:szCs w:val="24"/>
        </w:rPr>
        <w:t xml:space="preserve">ых бумаг: </w:t>
      </w:r>
      <w:r w:rsidR="00CA357F" w:rsidRPr="001E35CB">
        <w:rPr>
          <w:sz w:val="24"/>
          <w:szCs w:val="24"/>
        </w:rPr>
        <w:t xml:space="preserve">протокол заседания правления от </w:t>
      </w:r>
      <w:r w:rsidR="00F842CF">
        <w:rPr>
          <w:sz w:val="24"/>
          <w:szCs w:val="24"/>
        </w:rPr>
        <w:t>11</w:t>
      </w:r>
      <w:r w:rsidR="005D45CA" w:rsidRPr="001E35CB">
        <w:rPr>
          <w:sz w:val="24"/>
          <w:szCs w:val="24"/>
        </w:rPr>
        <w:t xml:space="preserve"> сентября 2018 года </w:t>
      </w:r>
      <w:r w:rsidRPr="001E35CB">
        <w:rPr>
          <w:sz w:val="24"/>
          <w:szCs w:val="24"/>
        </w:rPr>
        <w:t xml:space="preserve"> № 27.</w:t>
      </w:r>
    </w:p>
    <w:p w:rsidR="001E35CB" w:rsidRDefault="001E35CB" w:rsidP="001E35CB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EB136B" w:rsidRPr="001E35CB" w:rsidRDefault="00EB136B" w:rsidP="001E35CB">
      <w:pPr>
        <w:pStyle w:val="a3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E35CB">
        <w:rPr>
          <w:sz w:val="24"/>
          <w:szCs w:val="24"/>
        </w:rPr>
        <w:t>Кворум и результаты голосования по вопросу о принятии решения о размещении ценных бумаг:</w:t>
      </w:r>
    </w:p>
    <w:p w:rsidR="00EB136B" w:rsidRPr="00EB136B" w:rsidRDefault="00EB136B" w:rsidP="00EB136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B136B">
        <w:rPr>
          <w:rFonts w:ascii="Times New Roman" w:hAnsi="Times New Roman"/>
          <w:sz w:val="24"/>
        </w:rPr>
        <w:t xml:space="preserve">Всего членов </w:t>
      </w:r>
      <w:r>
        <w:rPr>
          <w:rFonts w:ascii="Times New Roman" w:hAnsi="Times New Roman"/>
          <w:sz w:val="24"/>
        </w:rPr>
        <w:t>Правления</w:t>
      </w:r>
      <w:r w:rsidRPr="00EB136B">
        <w:rPr>
          <w:rFonts w:ascii="Times New Roman" w:hAnsi="Times New Roman"/>
          <w:sz w:val="24"/>
        </w:rPr>
        <w:t xml:space="preserve"> - 7 человек.</w:t>
      </w:r>
    </w:p>
    <w:p w:rsidR="00EB136B" w:rsidRPr="00EB136B" w:rsidRDefault="00EB136B" w:rsidP="00EB136B">
      <w:pPr>
        <w:spacing w:after="0" w:line="240" w:lineRule="auto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EB136B">
        <w:rPr>
          <w:rFonts w:ascii="Times New Roman" w:hAnsi="Times New Roman"/>
          <w:sz w:val="24"/>
        </w:rPr>
        <w:t xml:space="preserve">При определении кворума по вопросам повестки дня и результатов голосования учитывались </w:t>
      </w:r>
      <w:r w:rsidRPr="00D74CFB">
        <w:rPr>
          <w:rFonts w:ascii="Times New Roman" w:hAnsi="Times New Roman"/>
          <w:sz w:val="24"/>
        </w:rPr>
        <w:t xml:space="preserve">мнения </w:t>
      </w:r>
      <w:r w:rsidR="00D74CFB" w:rsidRPr="00D74CFB">
        <w:rPr>
          <w:rFonts w:ascii="Times New Roman" w:hAnsi="Times New Roman"/>
          <w:sz w:val="24"/>
        </w:rPr>
        <w:t>6</w:t>
      </w:r>
      <w:r w:rsidRPr="00D74CFB">
        <w:rPr>
          <w:rFonts w:ascii="Times New Roman" w:hAnsi="Times New Roman"/>
          <w:sz w:val="24"/>
        </w:rPr>
        <w:t xml:space="preserve"> членов Правления</w:t>
      </w:r>
      <w:r w:rsidRPr="00EB136B">
        <w:rPr>
          <w:rFonts w:ascii="Times New Roman" w:hAnsi="Times New Roman"/>
          <w:sz w:val="24"/>
        </w:rPr>
        <w:t>.</w:t>
      </w:r>
    </w:p>
    <w:p w:rsidR="001E35CB" w:rsidRDefault="00EB136B" w:rsidP="001E3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B136B">
        <w:rPr>
          <w:rFonts w:ascii="Times New Roman" w:hAnsi="Times New Roman"/>
          <w:sz w:val="24"/>
        </w:rPr>
        <w:t xml:space="preserve">Кворум для проведения заседания </w:t>
      </w:r>
      <w:r>
        <w:rPr>
          <w:rFonts w:ascii="Times New Roman" w:hAnsi="Times New Roman"/>
          <w:sz w:val="24"/>
        </w:rPr>
        <w:t>Правления</w:t>
      </w:r>
      <w:r w:rsidRPr="00EB136B">
        <w:rPr>
          <w:rFonts w:ascii="Times New Roman" w:hAnsi="Times New Roman"/>
          <w:sz w:val="24"/>
        </w:rPr>
        <w:t xml:space="preserve"> имелся.</w:t>
      </w:r>
    </w:p>
    <w:p w:rsidR="00EB136B" w:rsidRPr="001E35CB" w:rsidRDefault="00EB136B" w:rsidP="001E3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E35CB">
        <w:rPr>
          <w:rFonts w:ascii="Times New Roman" w:hAnsi="Times New Roman"/>
          <w:sz w:val="24"/>
          <w:szCs w:val="24"/>
        </w:rPr>
        <w:t>Результаты голосования по вопросу №1 «</w:t>
      </w:r>
      <w:r w:rsidR="001E35CB" w:rsidRPr="001E35CB">
        <w:rPr>
          <w:rFonts w:ascii="Times New Roman" w:hAnsi="Times New Roman"/>
          <w:sz w:val="24"/>
          <w:szCs w:val="24"/>
        </w:rPr>
        <w:t>О размещении субординированных облигаций</w:t>
      </w:r>
      <w:r w:rsidRPr="001E35CB">
        <w:rPr>
          <w:rFonts w:ascii="Times New Roman" w:hAnsi="Times New Roman"/>
          <w:sz w:val="24"/>
          <w:szCs w:val="24"/>
        </w:rPr>
        <w:t>».</w:t>
      </w:r>
    </w:p>
    <w:p w:rsidR="00EB136B" w:rsidRPr="00DB3A22" w:rsidRDefault="00D74CFB" w:rsidP="00EB136B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D74CFB">
        <w:rPr>
          <w:sz w:val="24"/>
          <w:szCs w:val="24"/>
        </w:rPr>
        <w:t>За – 6</w:t>
      </w:r>
      <w:r w:rsidR="00EB136B" w:rsidRPr="00D74CFB">
        <w:rPr>
          <w:sz w:val="24"/>
          <w:szCs w:val="24"/>
        </w:rPr>
        <w:t xml:space="preserve"> голосов. Против</w:t>
      </w:r>
      <w:r w:rsidR="00EB136B" w:rsidRPr="00DB3A22">
        <w:rPr>
          <w:sz w:val="24"/>
          <w:szCs w:val="24"/>
        </w:rPr>
        <w:t xml:space="preserve"> – 0. Воздержался – 0.</w:t>
      </w:r>
    </w:p>
    <w:p w:rsidR="00EB136B" w:rsidRDefault="00EB136B" w:rsidP="00EB13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B136B" w:rsidRPr="001E35CB" w:rsidRDefault="00EB136B" w:rsidP="001E35CB">
      <w:pPr>
        <w:pStyle w:val="a3"/>
        <w:numPr>
          <w:ilvl w:val="1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E35CB">
        <w:rPr>
          <w:sz w:val="24"/>
          <w:szCs w:val="24"/>
        </w:rPr>
        <w:t>Полная формулировка принятого решения о размещении ценных бумаг:</w:t>
      </w:r>
    </w:p>
    <w:p w:rsidR="001E35CB" w:rsidRPr="001E35CB" w:rsidRDefault="001E35CB" w:rsidP="001E35CB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851"/>
        </w:tabs>
        <w:ind w:right="-2"/>
        <w:jc w:val="both"/>
        <w:rPr>
          <w:sz w:val="24"/>
          <w:szCs w:val="24"/>
        </w:rPr>
      </w:pPr>
      <w:r w:rsidRPr="001E35CB">
        <w:rPr>
          <w:sz w:val="24"/>
          <w:szCs w:val="24"/>
        </w:rPr>
        <w:t xml:space="preserve">Разместить облигации Банка на следующих условиях: </w:t>
      </w:r>
    </w:p>
    <w:p w:rsidR="001E35CB" w:rsidRPr="001E35CB" w:rsidRDefault="001E35CB" w:rsidP="001E35CB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54"/>
        <w:gridCol w:w="3066"/>
        <w:gridCol w:w="5836"/>
      </w:tblGrid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Идентификационные признаки облигаций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документарные процентные неконвертируемые облигации на предъявителя серии 01, серии 02, серии 03 с обязательным централизованным хранением, без установленного срока погашения, с возможностью </w:t>
            </w:r>
            <w:r w:rsidRPr="00F842CF">
              <w:rPr>
                <w:rFonts w:ascii="Times New Roman" w:hAnsi="Times New Roman"/>
                <w:sz w:val="24"/>
                <w:szCs w:val="24"/>
              </w:rPr>
              <w:lastRenderedPageBreak/>
              <w:t>погашения по усмотрению Банка</w:t>
            </w:r>
          </w:p>
        </w:tc>
      </w:tr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Сведения о депозитарии, осуществляющем обязательное централизованное хранение облигаций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НКО АО НРД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г.  Москва, улица Спартаковская, дом 12</w:t>
            </w:r>
          </w:p>
        </w:tc>
      </w:tr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Номинальная стоимость каждой облигации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1 000 (Одна тысяча) рублей</w:t>
            </w:r>
          </w:p>
        </w:tc>
      </w:tr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Количество облигаций 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Облигации разместить тремя выпусками: серии 01 в количестве 400 000 (Четыреста тысяч) штук, серии 02 в количестве 400 000 (Четыреста тысяч) штук, серии 03  в количестве 450 000 (Четыреста пятьдесят тысяч) штук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Способ размещения облигаций 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закрытая  подписка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Круг потенциальных приобретателей Облигаций: 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Юридические лица, являющиеся квалифицированными инвесторами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выпуск облигаций осуществить с условием допуска облигаций на организованные торги ПАО Московская Биржа</w:t>
            </w:r>
          </w:p>
        </w:tc>
      </w:tr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6" w:type="dxa"/>
          </w:tcPr>
          <w:p w:rsidR="00D74CFB" w:rsidRPr="00F842CF" w:rsidRDefault="00D74CFB" w:rsidP="00494A30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Цена размещения облигаций  или порядок ее определения (в соответствии с решением Совета директоров</w:t>
            </w:r>
            <w:r w:rsidR="00494A30">
              <w:rPr>
                <w:rFonts w:ascii="Times New Roman" w:hAnsi="Times New Roman"/>
                <w:sz w:val="24"/>
                <w:szCs w:val="24"/>
              </w:rPr>
              <w:t xml:space="preserve">, протокол №8 от 06 сентября </w:t>
            </w:r>
            <w:r w:rsidR="00494A30" w:rsidRPr="00F84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2CF">
              <w:rPr>
                <w:rFonts w:ascii="Times New Roman" w:hAnsi="Times New Roman"/>
                <w:sz w:val="24"/>
                <w:szCs w:val="24"/>
              </w:rPr>
              <w:t>2018)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Цену размещения облигаций, установить равной 1 000 (Одна тысяча) рублей за одну облигацию, что соответствует 100 (Ста) процентам от ее номинальной стоимости.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Начиная со второго дня размещения облигаций, покупатель облигаций при приобретении облигаций помимо цены размещения также должен уплатить накопленный купонный доход (НКД), определяемый по следующей формуле: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НКД = Nom * C1 * ((T - T0)/ 365)/ 100%, где: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НКД - накопленный купонный доход, руб.;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Nom - номинальная стоимость одной Облигации на дату начала размещения, руб.;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С1 - размер процентной ставки по купону, в процентах годовых, который не может превышать уровня, установленного Положением Банка России от 28.12.2012 N 395-П «О методике определения величины собственных средств (капитала) кредитных организаций («Базель III»)» (далее «Положение Банка России № 395-П»), или иным нормативным актом Банка России, регулирующим вопросы методики </w:t>
            </w:r>
            <w:r w:rsidRPr="00F842CF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величины собственных средств (капитала) кредитных организаций, для субординированных займов (облигационных выпусков), включаемых в состав источников добавочного капитала кредитной организации;</w:t>
            </w:r>
          </w:p>
          <w:p w:rsidR="00494A30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T - дата размещения облигаций, на которую вычисляется НКД; 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T0 - дата начала размещения облигаций.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Величина НКД в расчете на одну облигацию определяется с точностью до одной копейки (округление производится по правилам математического округления, при котором значение целой копейки (целых копеек) не изменяется, если первая за округляемой цифра от 0 до 4, и изменяется, увеличиваясь на единицу, если первая за округляемой цифра от 5 до 9).</w:t>
            </w:r>
          </w:p>
        </w:tc>
      </w:tr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6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Форма оплаты облигаций 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денежные средства в валюте Российской Федерации</w:t>
            </w:r>
          </w:p>
        </w:tc>
      </w:tr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Срок обращения облигаций 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Форма погашения облигаций 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денежными средствами в валюте Российской Федерации в безналичном порядке</w:t>
            </w:r>
          </w:p>
        </w:tc>
      </w:tr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Срок погашения облигаций 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Срок (дата) погашения облигаций не устанавливается.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В случае если выпуск облигаций будет соответствовать требованиям федеральных законов, иных нормативных актов, установленным для субординированных облигационных займов, и Банком Росси будет согласовано включение средств, привлеченных в результате размещения облигаций, в состав источников добавочного капитала, Банка вправе принять решение о том, что облигации будут погашены в дату окончания любого купонного периода, начиная с 5 (Пятого) купонного периода включительно, при условии, что дата погашения Облигаций наступает не ранее чем через пять лет с даты включения средств, привлеченных в результате размещения Облигаций, в состав источников добавочного капитала Банка.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При этом в случае, если Банком России будет согласовано включение средств, привлеченных в результате размещения облигаций, в состав  источников  добавочного капитала, решение о погашении Облигаций может быть принято только после согласования с Банком России возможности погашения Облигаций.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В случае если Банком России будет согласовано включение средств, привлеченных в результате </w:t>
            </w:r>
            <w:r w:rsidRPr="00F842CF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Облигаций, в состав источников добавочного капитала, решение о погашении облигаций может быть принято после согласования с Банком России возможности погашения Облигаций, также в случае, если после государственной регистрации отчета об итогах выпуска Облигаций или представления Уведомления об итогах выпуска ценных бумаг в Банк России в нормативные правовые акты Российской Федерации внесены изменения, существенно ухудшающие условия эмиссии для Эмитента и Владельца(ев) облигаций.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Банка принимает решение о погашении облигаций в следующих случаях: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- в случае получения Банком отказа территориального учреждения Банка России (уполномоченного структурного подразделения центрального аппарата Банка России) на включение денежных средств, полученных от размещения Облигаций, в состав источников добавочного капитала в объеме, указанном в отчете об итогах выпуска Облигаций или уведомлении об итогах выпуска Облигаций, 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- в случае, если после государственной регистрации отчета об итогах выпуска Облигаций или представления уведомления об итогах выпуска ценных бумаг в Банк России, в нормативные правовые акты Российской Федерации, нормативные акты Банка России будут внесены любые правки, дополнения, уточнения или изменения, регулирующие субординированные облигационные займы, и Облигации настоящего выпуска перестанут удовлетворять требованиям для субординированных облигационных займов на включение привлеченных денежных средств, полученных от размещения Облигаций, в состав источников добавочного капитала.</w:t>
            </w:r>
          </w:p>
        </w:tc>
      </w:tr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6" w:type="dxa"/>
          </w:tcPr>
          <w:p w:rsidR="00D74CFB" w:rsidRPr="00F842CF" w:rsidRDefault="00D74CFB" w:rsidP="00494A30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Порядок определения дохода по облигациям (размер процента (купона) указан в соответствии с решением Председателя Правления Банка</w:t>
            </w:r>
            <w:r w:rsidR="00494A30">
              <w:rPr>
                <w:rFonts w:ascii="Times New Roman" w:hAnsi="Times New Roman"/>
                <w:sz w:val="24"/>
                <w:szCs w:val="24"/>
              </w:rPr>
              <w:t>, приказ №597а</w:t>
            </w:r>
            <w:r w:rsidRPr="00F842CF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 w:rsidR="00494A30">
              <w:rPr>
                <w:rFonts w:ascii="Times New Roman" w:hAnsi="Times New Roman"/>
                <w:sz w:val="24"/>
                <w:szCs w:val="24"/>
              </w:rPr>
              <w:t>5</w:t>
            </w:r>
            <w:r w:rsidRPr="00F842CF">
              <w:rPr>
                <w:rFonts w:ascii="Times New Roman" w:hAnsi="Times New Roman"/>
                <w:sz w:val="24"/>
                <w:szCs w:val="24"/>
              </w:rPr>
              <w:t>.09.2018)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Величина процентной ставки купона на все купонные периоды обращения облигаций серии 01, серии 02, и серии 03 определена  в размере 10(Десяти) процентов годовых. 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При этом размер процентной ставки купона не может превышать предельного размера ставки, установленного Положением Банка России № 395-П или иным нормативным актом Банка России, регулирующим вопросы методики определения величины собственных средств (капитала) кредитных организаций,  для субординированных займов (облигационных выпусков), включаемых в состав </w:t>
            </w:r>
            <w:r w:rsidRPr="00F842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источников добавочного капитала кредитной организации. 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В случае, если указанная выше величина процентной ставки купона, становится выше предельного значения ставки, установленного Положением Банка России № 395-П или иным нормативным актом Банка России, регулирующим вопросы методики определения величины собственных средств (капитала) кредитных организаций, для субординированных займов (облигационных выпусков), включаемых в состав источников добавочного капитала кредитной организации, то величина процентной ставки купона устанавливается в размере предельного значения ставки,  установленного Положением Банка России № 395-П или иным нормативным актом Банка России, регулирующим вопросы методики определения величины собственных средств (капитала) кредитных организаций, для субординированных займов (облигационных выпусков), включаемых в состав источников добавочного капитала кредитной организации, и подлежит применению с купонного периода, следующего за купонным периодом в течение которого вступили в силу  изменения в Положением Банка России № 395-П, или иной нормативный акт Банка России, регулирующий вопросы методики определения величины собственных средств (капитала) кредитных организаций, для субординированных займов (облигационных выпусков), включаемых в состав источников добавочного капитала кредитной организации, в результате которого ставка купона в размере 10% годовых становится выше указанного предельного значения ставки.  Выплата купонного дохода производится в дату окончания соответствующего купонного периода.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Расчет величины купонного дохода на одну Облигацию, выплачиваемого в дату окончания купонного периода, производится по следующей формуле: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Kj = Nom * Сj * (T(j) - T(j-1)) / 365 / 100%, где: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Kj - сумма купонной выплаты по каждой Облигации, в рублях; j - порядковый номер текущего купонного периода;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Nom – номинальная стоимость одной Облигации, 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Сj - размер процентной ставки j - того купона; T(j) – дата окончания j - того купонного периода;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lastRenderedPageBreak/>
              <w:t>T(j-1) - дата окончания купонного периода (j-1) - ого купона (для случая первого купонного периода Т (j-1) – это дата начала размещения Облигаций).</w:t>
            </w:r>
          </w:p>
        </w:tc>
      </w:tr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6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Отказ от уплаты доходов по облигациям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В случае, если выпуски облигаций будут соответствовать требованиям федеральных законов, иных нормативных актов,  установленным для субординированных облигационных займов, и Банком России будет согласовано включение средств, привлеченных в результате размещения Облигаций, в состав источников добавочного капитала, Банк вправе отказаться в одностороннем порядке от уплаты дохода по Облигациям.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Решение об отказе от уплаты дохода по облигациям  принимается уполномоченным органом управления Банка не позднее, чем за 14 дней до даты окончания очередного купонного периода, по которому начислен доход.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Реализация Банком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займу. Реализация Эмитентом указанного права осуществляется в отношении всех Облигаций выпуска.</w:t>
            </w:r>
          </w:p>
        </w:tc>
      </w:tr>
      <w:tr w:rsidR="00D74CFB" w:rsidRPr="00F842CF" w:rsidTr="00D74CFB">
        <w:tc>
          <w:tcPr>
            <w:tcW w:w="454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6" w:type="dxa"/>
          </w:tcPr>
          <w:p w:rsidR="00D74CFB" w:rsidRPr="00F842CF" w:rsidRDefault="00D74CFB" w:rsidP="00F842CF">
            <w:pPr>
              <w:tabs>
                <w:tab w:val="left" w:pos="0"/>
                <w:tab w:val="left" w:pos="426"/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Прекращение обязательства </w:t>
            </w:r>
          </w:p>
          <w:p w:rsidR="00D74CFB" w:rsidRPr="00F842CF" w:rsidRDefault="00D74CFB" w:rsidP="00F842CF">
            <w:pPr>
              <w:tabs>
                <w:tab w:val="left" w:pos="0"/>
                <w:tab w:val="left" w:pos="426"/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по облигациям </w:t>
            </w:r>
          </w:p>
        </w:tc>
        <w:tc>
          <w:tcPr>
            <w:tcW w:w="5836" w:type="dxa"/>
          </w:tcPr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При условии, что облигации будут соответствовать требованиям федеральных законов, иных нормативных актов, установленных для субординированных облигационных займов, и Банком России будет согласовано включение средств, привлеченных Банком в результате размещения облигаций в состав источников добавочного капитала, в случае наступления одного из двух следующих событий: 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-</w:t>
            </w:r>
            <w:r w:rsidRPr="00F842CF">
              <w:rPr>
                <w:rFonts w:ascii="Times New Roman" w:hAnsi="Times New Roman"/>
                <w:sz w:val="24"/>
                <w:szCs w:val="24"/>
              </w:rPr>
              <w:tab/>
              <w:t>значение норматива достаточности базового капитала, рассчитанное Банком в соответствии с Инструкцией Банка России № 180-И, достигло уровня ниже 5,125 процента в совокупности за шесть и более операционных дней в течение любых 30 последовательных операционных дней Банка;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-</w:t>
            </w:r>
            <w:r w:rsidRPr="00F842CF">
              <w:rPr>
                <w:rFonts w:ascii="Times New Roman" w:hAnsi="Times New Roman"/>
                <w:sz w:val="24"/>
                <w:szCs w:val="24"/>
              </w:rPr>
              <w:tab/>
              <w:t xml:space="preserve">Советом директоров Банка России утвержден план участия Банка России в осуществлении мер по предупреждению банкротства Банка или Комитетом банковского надзора Банка России (а в случае, предусмотренном абзацем вторым пункта 3 статьи 189.49 Федерального закона "О несостоятельности (банкротстве)", также Советом директоров Банка </w:t>
            </w:r>
            <w:r w:rsidRPr="00F842CF">
              <w:rPr>
                <w:rFonts w:ascii="Times New Roman" w:hAnsi="Times New Roman"/>
                <w:sz w:val="24"/>
                <w:szCs w:val="24"/>
              </w:rPr>
              <w:lastRenderedPageBreak/>
              <w:t>России) утвержден план участия Агентства по страхованию вкладов в осуществлении мер по предупреждению банкротства Банка, предусматривающий оказание Банком России или Агентством по страхованию вкладов финансовой помощи в соответствии с Федеральным законом "О несостоятельности (банкротстве)" наступают следующие последствия: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обязательства Банка по возврату суммы основного долга по облигациям, а также по финансовым санкциям за неисполнение обязательств по облигациям   прекращаются   полностью    либо   частично в объеме, необходимом для достижения значения норматива достаточности собственных средств (капитала) указанного выше или значений нормативов достаточности собственных средств (капитала), установленных Банком России в соответствии с Федеральным законом "О Центральном банке Российской Федерации (Банке России)", соответственно ,    невыплаченные    проценты    не 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возмещаются и не накапливаются за счет прекращения полностью либо частично обязательства Банка по выплате суммы начисленных процентов по субординированному облигационному займу.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>В случае убытков Банка, следствием которых является возникновение указанных выше событий, указанные обязательства Банка прекращаются после использования нераспределенной прибыли, резервного фонда и иных источников базового капитала для покрытия убытков Банка.</w:t>
            </w:r>
          </w:p>
          <w:p w:rsidR="00D74CFB" w:rsidRPr="00F842CF" w:rsidRDefault="00D74CFB" w:rsidP="00D74CFB">
            <w:p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CF">
              <w:rPr>
                <w:rFonts w:ascii="Times New Roman" w:hAnsi="Times New Roman"/>
                <w:sz w:val="24"/>
                <w:szCs w:val="24"/>
              </w:rPr>
              <w:t xml:space="preserve">Указанные последствия могут не наступить в случае, если уполномоченным органом Банка в рамках принятия решения об очередности прекращения обязательств по субординированным кредитам (депозитам, займам), выпускам субординированных облигационных займов, не принято решение о прекращении обязательств по облигациям настоящего выпуска. </w:t>
            </w:r>
          </w:p>
        </w:tc>
      </w:tr>
    </w:tbl>
    <w:p w:rsidR="001E35CB" w:rsidRPr="00F842CF" w:rsidRDefault="001E35CB" w:rsidP="00D74CFB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4CFB" w:rsidRPr="00F842CF" w:rsidRDefault="00D74CFB" w:rsidP="00D74CFB">
      <w:pPr>
        <w:pStyle w:val="a3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F842CF">
        <w:rPr>
          <w:iCs/>
          <w:sz w:val="24"/>
          <w:szCs w:val="24"/>
        </w:rPr>
        <w:t>Поручить Чумаевской Е.А., Начальнику Правового управления, подготовить все необходимые документы, а также принять меры к реализации всех необходимых действий по государственной регистрации выпуска облигаций.</w:t>
      </w:r>
    </w:p>
    <w:p w:rsidR="00D74CFB" w:rsidRPr="00F842CF" w:rsidRDefault="00D74CFB" w:rsidP="00D74CFB">
      <w:pPr>
        <w:pStyle w:val="a3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F842CF">
        <w:rPr>
          <w:iCs/>
          <w:sz w:val="24"/>
          <w:szCs w:val="24"/>
        </w:rPr>
        <w:t xml:space="preserve">Поручить Филатову М.В., Председателю Правления, вынести вопрос об утверждении </w:t>
      </w:r>
      <w:r w:rsidR="00494A30">
        <w:rPr>
          <w:iCs/>
          <w:sz w:val="24"/>
          <w:szCs w:val="24"/>
        </w:rPr>
        <w:t>Р</w:t>
      </w:r>
      <w:r w:rsidRPr="00F842CF">
        <w:rPr>
          <w:iCs/>
          <w:sz w:val="24"/>
          <w:szCs w:val="24"/>
        </w:rPr>
        <w:t xml:space="preserve">ешения о выпуске облигаций на рассмотрение Совета директоров Банка. </w:t>
      </w:r>
    </w:p>
    <w:p w:rsidR="00D74CFB" w:rsidRDefault="00D74CFB" w:rsidP="001E35C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35CB" w:rsidRDefault="001E35CB" w:rsidP="001E35CB">
      <w:pPr>
        <w:pStyle w:val="a3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E35C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E35CB">
        <w:rPr>
          <w:sz w:val="24"/>
          <w:szCs w:val="24"/>
        </w:rPr>
        <w:t xml:space="preserve">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</w:t>
      </w:r>
      <w:r>
        <w:rPr>
          <w:sz w:val="24"/>
          <w:szCs w:val="24"/>
        </w:rPr>
        <w:t>: преимущественное</w:t>
      </w:r>
      <w:r w:rsidR="005F6FAE">
        <w:rPr>
          <w:sz w:val="24"/>
          <w:szCs w:val="24"/>
        </w:rPr>
        <w:t xml:space="preserve"> право</w:t>
      </w:r>
      <w:r w:rsidRPr="001E35CB">
        <w:rPr>
          <w:sz w:val="24"/>
          <w:szCs w:val="24"/>
        </w:rPr>
        <w:t xml:space="preserve"> приобретения размещаемых ценных бумаг</w:t>
      </w:r>
      <w:r>
        <w:rPr>
          <w:sz w:val="24"/>
          <w:szCs w:val="24"/>
        </w:rPr>
        <w:t xml:space="preserve"> не предусмотрено.</w:t>
      </w:r>
    </w:p>
    <w:p w:rsidR="001E35CB" w:rsidRPr="001E35CB" w:rsidRDefault="001E35CB" w:rsidP="001E35CB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5D45CA" w:rsidRPr="001E35CB" w:rsidRDefault="001E35CB" w:rsidP="001E35CB">
      <w:pPr>
        <w:pStyle w:val="a3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E35CB">
        <w:rPr>
          <w:sz w:val="24"/>
          <w:szCs w:val="24"/>
        </w:rPr>
        <w:t xml:space="preserve"> случае если в ходе эмиссии ценных бумаг предполагается регистрация (представление бирже) проспекта ценных бумаг, сведения об указанном обстоятельстве</w:t>
      </w:r>
      <w:r>
        <w:rPr>
          <w:sz w:val="24"/>
          <w:szCs w:val="24"/>
        </w:rPr>
        <w:t xml:space="preserve">: </w:t>
      </w:r>
      <w:r w:rsidRPr="001E35C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D45CA" w:rsidRPr="001E35CB">
        <w:rPr>
          <w:sz w:val="24"/>
          <w:szCs w:val="24"/>
        </w:rPr>
        <w:t xml:space="preserve"> ходе эмиссии ценных бумаг предполагается регистрация проспекта ценных бумаг.</w:t>
      </w:r>
    </w:p>
    <w:p w:rsidR="00EB136B" w:rsidRPr="001E35CB" w:rsidRDefault="00EB136B" w:rsidP="001E35CB">
      <w:pPr>
        <w:pStyle w:val="a5"/>
      </w:pPr>
    </w:p>
    <w:p w:rsidR="00EB136B" w:rsidRPr="001E35CB" w:rsidRDefault="00EB136B" w:rsidP="001E35CB">
      <w:pPr>
        <w:pStyle w:val="a5"/>
      </w:pPr>
    </w:p>
    <w:p w:rsidR="00EB136B" w:rsidRPr="001E35CB" w:rsidRDefault="00EB136B" w:rsidP="001E35CB">
      <w:pPr>
        <w:pStyle w:val="a5"/>
      </w:pPr>
    </w:p>
    <w:p w:rsidR="00EB136B" w:rsidRPr="001E35CB" w:rsidRDefault="00EB136B" w:rsidP="001E35CB">
      <w:pPr>
        <w:pStyle w:val="a5"/>
      </w:pPr>
    </w:p>
    <w:p w:rsidR="00EB136B" w:rsidRPr="001E35CB" w:rsidRDefault="00EB136B" w:rsidP="001E35CB">
      <w:pPr>
        <w:pStyle w:val="a5"/>
      </w:pPr>
    </w:p>
    <w:p w:rsidR="00B11EBD" w:rsidRPr="001E35CB" w:rsidRDefault="00B11EBD" w:rsidP="001E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1EBD" w:rsidRPr="001E35CB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511"/>
    <w:multiLevelType w:val="hybridMultilevel"/>
    <w:tmpl w:val="E612DBF2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5D81"/>
    <w:multiLevelType w:val="multilevel"/>
    <w:tmpl w:val="5192D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777043"/>
    <w:multiLevelType w:val="multilevel"/>
    <w:tmpl w:val="31781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7237B"/>
    <w:multiLevelType w:val="hybridMultilevel"/>
    <w:tmpl w:val="550E49FA"/>
    <w:lvl w:ilvl="0" w:tplc="5CCECE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A7B7F"/>
    <w:multiLevelType w:val="hybridMultilevel"/>
    <w:tmpl w:val="17F6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42CE0"/>
    <w:multiLevelType w:val="hybridMultilevel"/>
    <w:tmpl w:val="806E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D246C"/>
    <w:multiLevelType w:val="multilevel"/>
    <w:tmpl w:val="EE9A181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7DCB1BFD"/>
    <w:multiLevelType w:val="multilevel"/>
    <w:tmpl w:val="31781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EBD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04EB7"/>
    <w:rsid w:val="00115EE1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E35CB"/>
    <w:rsid w:val="001F1ADD"/>
    <w:rsid w:val="00204C92"/>
    <w:rsid w:val="00214E36"/>
    <w:rsid w:val="00225515"/>
    <w:rsid w:val="0022784C"/>
    <w:rsid w:val="002327E6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94A30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45CA"/>
    <w:rsid w:val="005D6E3C"/>
    <w:rsid w:val="005D7221"/>
    <w:rsid w:val="005E2848"/>
    <w:rsid w:val="005E2C45"/>
    <w:rsid w:val="005F0DB7"/>
    <w:rsid w:val="005F407C"/>
    <w:rsid w:val="005F6FAE"/>
    <w:rsid w:val="005F7372"/>
    <w:rsid w:val="00613A9E"/>
    <w:rsid w:val="006159DA"/>
    <w:rsid w:val="00623AA8"/>
    <w:rsid w:val="00637163"/>
    <w:rsid w:val="00646FD8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B040D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87127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46C9B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C7AE3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53332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2FEB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57931"/>
    <w:rsid w:val="00C631D8"/>
    <w:rsid w:val="00C642C5"/>
    <w:rsid w:val="00C837A5"/>
    <w:rsid w:val="00C97447"/>
    <w:rsid w:val="00CA357F"/>
    <w:rsid w:val="00CC07F0"/>
    <w:rsid w:val="00CC28AD"/>
    <w:rsid w:val="00CD212F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23EA0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4CFB"/>
    <w:rsid w:val="00D7586A"/>
    <w:rsid w:val="00D75DC5"/>
    <w:rsid w:val="00D82723"/>
    <w:rsid w:val="00D91588"/>
    <w:rsid w:val="00DA19A5"/>
    <w:rsid w:val="00DA3C66"/>
    <w:rsid w:val="00DB3A22"/>
    <w:rsid w:val="00DC2005"/>
    <w:rsid w:val="00DF1C9A"/>
    <w:rsid w:val="00DF3501"/>
    <w:rsid w:val="00DF5F50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85969"/>
    <w:rsid w:val="00E929AE"/>
    <w:rsid w:val="00E947AC"/>
    <w:rsid w:val="00EA0AEF"/>
    <w:rsid w:val="00EA0B3E"/>
    <w:rsid w:val="00EA2551"/>
    <w:rsid w:val="00EA2D6F"/>
    <w:rsid w:val="00EA675A"/>
    <w:rsid w:val="00EA7A7F"/>
    <w:rsid w:val="00EB136B"/>
    <w:rsid w:val="00EB5908"/>
    <w:rsid w:val="00ED023B"/>
    <w:rsid w:val="00ED139E"/>
    <w:rsid w:val="00ED1CE2"/>
    <w:rsid w:val="00ED1EE2"/>
    <w:rsid w:val="00ED7BBE"/>
    <w:rsid w:val="00EF1489"/>
    <w:rsid w:val="00F01A5D"/>
    <w:rsid w:val="00F03DB5"/>
    <w:rsid w:val="00F13E88"/>
    <w:rsid w:val="00F1761D"/>
    <w:rsid w:val="00F26E89"/>
    <w:rsid w:val="00F3091F"/>
    <w:rsid w:val="00F310E2"/>
    <w:rsid w:val="00F4403C"/>
    <w:rsid w:val="00F502B6"/>
    <w:rsid w:val="00F52A23"/>
    <w:rsid w:val="00F55959"/>
    <w:rsid w:val="00F57338"/>
    <w:rsid w:val="00F62879"/>
    <w:rsid w:val="00F842CF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87127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character" w:customStyle="1" w:styleId="itemtext1">
    <w:name w:val="itemtext1"/>
    <w:basedOn w:val="a0"/>
    <w:rsid w:val="00DF5F50"/>
    <w:rPr>
      <w:rFonts w:ascii="Tahoma" w:hAnsi="Tahoma" w:cs="Tahoma" w:hint="default"/>
      <w:color w:val="000000"/>
    </w:rPr>
  </w:style>
  <w:style w:type="character" w:customStyle="1" w:styleId="20">
    <w:name w:val="Заголовок 2 Знак"/>
    <w:basedOn w:val="a0"/>
    <w:link w:val="2"/>
    <w:rsid w:val="00887127"/>
    <w:rPr>
      <w:rFonts w:ascii="Arial" w:eastAsia="Times New Roman" w:hAnsi="Arial"/>
      <w:b/>
      <w:sz w:val="22"/>
    </w:rPr>
  </w:style>
  <w:style w:type="character" w:styleId="a7">
    <w:name w:val="Hyperlink"/>
    <w:basedOn w:val="a0"/>
    <w:uiPriority w:val="99"/>
    <w:unhideWhenUsed/>
    <w:rsid w:val="00CA357F"/>
    <w:rPr>
      <w:color w:val="0000FF" w:themeColor="hyperlink"/>
      <w:u w:val="single"/>
    </w:rPr>
  </w:style>
  <w:style w:type="table" w:styleId="a8">
    <w:name w:val="Table Grid"/>
    <w:basedOn w:val="a1"/>
    <w:rsid w:val="001E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1E35C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35250237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D43E-9816-4E0D-A0B5-24BAB9F9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12731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2</cp:revision>
  <dcterms:created xsi:type="dcterms:W3CDTF">2018-09-12T07:14:00Z</dcterms:created>
  <dcterms:modified xsi:type="dcterms:W3CDTF">2018-09-12T07:14:00Z</dcterms:modified>
</cp:coreProperties>
</file>