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B5" w:rsidRDefault="00855CB5" w:rsidP="00855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76332">
        <w:rPr>
          <w:rFonts w:asciiTheme="majorHAnsi" w:hAnsiTheme="majorHAnsi" w:cs="Calibri"/>
          <w:sz w:val="24"/>
          <w:szCs w:val="24"/>
        </w:rPr>
        <w:t xml:space="preserve">Сообщение о существенном </w:t>
      </w:r>
      <w:proofErr w:type="gramStart"/>
      <w:r w:rsidRPr="00876332">
        <w:rPr>
          <w:rFonts w:asciiTheme="majorHAnsi" w:hAnsiTheme="majorHAnsi" w:cs="Calibri"/>
          <w:sz w:val="24"/>
          <w:szCs w:val="24"/>
        </w:rPr>
        <w:t>факте</w:t>
      </w:r>
      <w:proofErr w:type="gramEnd"/>
      <w:r w:rsidRPr="00876332">
        <w:rPr>
          <w:rFonts w:asciiTheme="majorHAnsi" w:hAnsiTheme="majorHAnsi" w:cs="Calibri"/>
          <w:sz w:val="24"/>
          <w:szCs w:val="24"/>
        </w:rPr>
        <w:t xml:space="preserve"> об отдельных решениях, принятых советом директоров ПАО «Нефтебаза Ручьи»</w:t>
      </w:r>
      <w:r>
        <w:rPr>
          <w:rFonts w:cs="Calibri"/>
          <w:sz w:val="24"/>
          <w:szCs w:val="24"/>
        </w:rPr>
        <w:t xml:space="preserve"> </w:t>
      </w:r>
      <w:r w:rsidRPr="00817569">
        <w:rPr>
          <w:rFonts w:asciiTheme="majorHAnsi" w:hAnsiTheme="majorHAnsi" w:cs="Calibri"/>
          <w:sz w:val="24"/>
          <w:szCs w:val="24"/>
        </w:rPr>
        <w:t>связанных с подготовкой, созывом, проведением общего собрания акционеров:</w:t>
      </w:r>
      <w:r>
        <w:rPr>
          <w:rFonts w:asciiTheme="majorHAnsi" w:hAnsiTheme="majorHAnsi" w:cs="Calibri"/>
          <w:sz w:val="24"/>
          <w:szCs w:val="24"/>
        </w:rPr>
        <w:t xml:space="preserve">          </w:t>
      </w:r>
    </w:p>
    <w:p w:rsidR="00855CB5" w:rsidRPr="002B5995" w:rsidRDefault="00855CB5" w:rsidP="00855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6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</w:t>
      </w:r>
      <w:r w:rsidRPr="002B5995">
        <w:rPr>
          <w:rFonts w:asciiTheme="majorHAnsi" w:hAnsiTheme="majorHAnsi"/>
          <w:sz w:val="24"/>
          <w:szCs w:val="24"/>
        </w:rPr>
        <w:t>«за» - 7 голосов, «против» - 0 голосов, «воздержались» - 0 голосов;</w:t>
      </w:r>
    </w:p>
    <w:p w:rsidR="00855CB5" w:rsidRPr="006B4E03" w:rsidRDefault="00855CB5" w:rsidP="0085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7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6332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6B4E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4E03" w:rsidRPr="00F4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размер дивидендов </w:t>
      </w:r>
      <w:r w:rsidR="006B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обыкновенным акциям, составляющий</w:t>
      </w:r>
      <w:r w:rsidR="006B4E03" w:rsidRPr="00F4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E03">
        <w:rPr>
          <w:rFonts w:ascii="Times New Roman" w:eastAsia="Times New Roman" w:hAnsi="Times New Roman" w:cs="Times New Roman"/>
          <w:sz w:val="24"/>
          <w:szCs w:val="24"/>
          <w:lang w:eastAsia="ru-RU"/>
        </w:rPr>
        <w:t>52 250 000 рублей,  распределить на все акции, исключив акции принадлежащие Обществу, таким образом, размер дивиденда на одну обыкновенную акцию составит 127 рублей 16 копеек.</w:t>
      </w:r>
      <w:proofErr w:type="gramEnd"/>
      <w:r w:rsidR="006B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06 марта 2019 года общим собранием акционеров принято решение о выплате акционерам дивидендов на общую сумму 55 00 000 рублей, Обществу необходимо выплатить дивиденды исходя из этой суммы, с учетом размера дивиденда на одну обыкновенну</w:t>
      </w:r>
      <w:r w:rsidR="006B4E03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акцию – 127 рублей 16 копеек</w:t>
      </w:r>
      <w:r w:rsidRPr="008763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633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855CB5" w:rsidRPr="000024A8" w:rsidRDefault="00855CB5" w:rsidP="006B4E0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</w:t>
      </w:r>
      <w:r w:rsidR="006B4E03">
        <w:rPr>
          <w:rFonts w:asciiTheme="majorHAnsi" w:hAnsiTheme="majorHAnsi" w:cs="Calibri"/>
          <w:sz w:val="24"/>
          <w:szCs w:val="24"/>
        </w:rPr>
        <w:t xml:space="preserve">    </w:t>
      </w:r>
      <w:bookmarkStart w:id="0" w:name="_GoBack"/>
      <w:bookmarkEnd w:id="0"/>
      <w:r w:rsidRPr="000024A8">
        <w:rPr>
          <w:rFonts w:asciiTheme="majorHAnsi" w:hAnsiTheme="majorHAnsi" w:cs="Calibri"/>
          <w:sz w:val="24"/>
          <w:szCs w:val="24"/>
        </w:rPr>
        <w:t>дата составления и номер протокола заседания совета директоров  эмитента, на котором при</w:t>
      </w:r>
      <w:r>
        <w:rPr>
          <w:rFonts w:asciiTheme="majorHAnsi" w:hAnsiTheme="majorHAnsi" w:cs="Calibri"/>
          <w:sz w:val="24"/>
          <w:szCs w:val="24"/>
        </w:rPr>
        <w:t xml:space="preserve">няты соответствующие решения- </w:t>
      </w:r>
      <w:r>
        <w:rPr>
          <w:rFonts w:asciiTheme="majorHAnsi" w:hAnsiTheme="majorHAnsi" w:cs="Calibri"/>
          <w:sz w:val="24"/>
          <w:szCs w:val="24"/>
        </w:rPr>
        <w:t>27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марта</w:t>
      </w:r>
      <w:r>
        <w:rPr>
          <w:rFonts w:asciiTheme="majorHAnsi" w:hAnsiTheme="majorHAnsi" w:cs="Calibri"/>
          <w:sz w:val="24"/>
          <w:szCs w:val="24"/>
        </w:rPr>
        <w:t xml:space="preserve"> 2019 года, </w:t>
      </w:r>
      <w:r w:rsidRPr="00675056">
        <w:rPr>
          <w:rFonts w:asciiTheme="majorHAnsi" w:hAnsiTheme="majorHAnsi" w:cs="Calibri"/>
          <w:sz w:val="24"/>
          <w:szCs w:val="24"/>
        </w:rPr>
        <w:t xml:space="preserve">протокол № </w:t>
      </w:r>
      <w:r w:rsidR="00675056" w:rsidRPr="00675056">
        <w:rPr>
          <w:rFonts w:asciiTheme="majorHAnsi" w:hAnsiTheme="majorHAnsi" w:cs="Calibri"/>
          <w:sz w:val="24"/>
          <w:szCs w:val="24"/>
        </w:rPr>
        <w:t>4</w:t>
      </w:r>
      <w:r w:rsidRPr="00675056">
        <w:rPr>
          <w:rFonts w:asciiTheme="majorHAnsi" w:hAnsiTheme="majorHAnsi" w:cs="Calibri"/>
          <w:sz w:val="24"/>
          <w:szCs w:val="24"/>
        </w:rPr>
        <w:t>.</w:t>
      </w:r>
    </w:p>
    <w:p w:rsidR="00855CB5" w:rsidRPr="00CF1B40" w:rsidRDefault="00855CB5" w:rsidP="0085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идентификационные признаки акций, владельцы которых имеют право на участие в общем собрании акционеров эмитента - </w:t>
      </w:r>
      <w:r w:rsidRPr="00CF1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именные бездокументарные, государственный регистрационный номер выпуска: 1-01-01868-</w:t>
      </w:r>
      <w:r w:rsidRPr="00CF1B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F1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государственной регистрации- 15.07.1993г., дата присвоения номера 24.08.2018 г., акции привилегированные именные типа А, государственный регистрационный номер выпуска: 2-01-01868-</w:t>
      </w:r>
      <w:r w:rsidRPr="00CF1B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F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государственной регистрации-15.07.1993г. </w:t>
      </w:r>
      <w:proofErr w:type="gramStart"/>
      <w:r w:rsidRPr="00CF1B4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F1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присвоения номера 24.08.2018 г.</w:t>
      </w:r>
    </w:p>
    <w:p w:rsidR="00855CB5" w:rsidRPr="00CF1B40" w:rsidRDefault="00855CB5" w:rsidP="0085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CB5" w:rsidRPr="00CF1B40" w:rsidRDefault="00855CB5" w:rsidP="0085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CB5" w:rsidRDefault="00855CB5" w:rsidP="00855CB5"/>
    <w:p w:rsidR="00855CB5" w:rsidRPr="00FB48D8" w:rsidRDefault="00855CB5" w:rsidP="00855CB5">
      <w:pPr>
        <w:spacing w:after="0"/>
        <w:rPr>
          <w:rFonts w:asciiTheme="majorHAnsi" w:hAnsiTheme="majorHAnsi"/>
        </w:rPr>
      </w:pPr>
    </w:p>
    <w:p w:rsidR="00855CB5" w:rsidRDefault="00855CB5" w:rsidP="00855CB5"/>
    <w:p w:rsidR="00855CB5" w:rsidRDefault="00855CB5" w:rsidP="00855CB5"/>
    <w:p w:rsidR="00B271E8" w:rsidRDefault="00B271E8"/>
    <w:sectPr w:rsidR="00B271E8" w:rsidSect="006534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F78"/>
    <w:multiLevelType w:val="hybridMultilevel"/>
    <w:tmpl w:val="DFBA6056"/>
    <w:lvl w:ilvl="0" w:tplc="F43C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18"/>
    <w:rsid w:val="00675056"/>
    <w:rsid w:val="006B4E03"/>
    <w:rsid w:val="00855CB5"/>
    <w:rsid w:val="00B271E8"/>
    <w:rsid w:val="00C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DF2BE4974E3107E1B8183A2A0802698209A3DC4B5C551E394FFE6E19BD0E83CCBC1EF32115098AAAu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2019-03-25T06:21:00Z</dcterms:created>
  <dcterms:modified xsi:type="dcterms:W3CDTF">2019-03-28T08:39:00Z</dcterms:modified>
</cp:coreProperties>
</file>