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1A73A4" w:rsidRPr="00857307" w:rsidTr="00720F36">
        <w:trPr>
          <w:trHeight w:val="70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73A4" w:rsidRPr="00857307" w:rsidRDefault="001A73A4" w:rsidP="00720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A73A4" w:rsidRPr="00857307" w:rsidRDefault="001A73A4" w:rsidP="00720F36">
            <w:pPr>
              <w:pStyle w:val="00"/>
            </w:pPr>
            <w:r w:rsidRPr="00857307">
              <w:t>ПРЕДВАРИТЕЛЬНО УТВЕРЖДЕН</w:t>
            </w:r>
          </w:p>
          <w:p w:rsidR="001A73A4" w:rsidRPr="00857307" w:rsidRDefault="001A73A4" w:rsidP="00720F36">
            <w:pPr>
              <w:pStyle w:val="00"/>
            </w:pPr>
            <w:r w:rsidRPr="00857307">
              <w:t xml:space="preserve">Советом директоров </w:t>
            </w:r>
          </w:p>
          <w:p w:rsidR="001A73A4" w:rsidRPr="00857307" w:rsidRDefault="001A73A4" w:rsidP="00720F36">
            <w:pPr>
              <w:pStyle w:val="00"/>
            </w:pPr>
            <w:r w:rsidRPr="00857307">
              <w:t>ОАО «Брокерский дом «ОТКРЫТИЕ»</w:t>
            </w:r>
          </w:p>
          <w:p w:rsidR="001A73A4" w:rsidRPr="00857307" w:rsidRDefault="001A73A4" w:rsidP="00720F36">
            <w:pPr>
              <w:pStyle w:val="00"/>
            </w:pPr>
            <w:r w:rsidRPr="00857307">
              <w:t>Протокол № 2015-05-29</w:t>
            </w:r>
          </w:p>
          <w:p w:rsidR="001A73A4" w:rsidRPr="00857307" w:rsidRDefault="001A73A4" w:rsidP="00720F36">
            <w:pPr>
              <w:pStyle w:val="00"/>
            </w:pPr>
            <w:r w:rsidRPr="00857307">
              <w:t>от «01» июня 2015 г.</w:t>
            </w:r>
          </w:p>
          <w:p w:rsidR="001A73A4" w:rsidRPr="00857307" w:rsidRDefault="001A73A4" w:rsidP="00720F36">
            <w:pPr>
              <w:pStyle w:val="00"/>
            </w:pPr>
          </w:p>
          <w:p w:rsidR="001A73A4" w:rsidRPr="00857307" w:rsidRDefault="001A73A4" w:rsidP="00720F36">
            <w:pPr>
              <w:pStyle w:val="00"/>
            </w:pPr>
          </w:p>
          <w:p w:rsidR="001A73A4" w:rsidRPr="00857307" w:rsidRDefault="001A73A4" w:rsidP="00720F36">
            <w:pPr>
              <w:pStyle w:val="00"/>
            </w:pPr>
          </w:p>
          <w:p w:rsidR="001A73A4" w:rsidRPr="00857307" w:rsidRDefault="001A73A4" w:rsidP="00720F36">
            <w:pPr>
              <w:pStyle w:val="00"/>
            </w:pPr>
            <w:r w:rsidRPr="00857307">
              <w:t>УТВЕРЖДЕН</w:t>
            </w:r>
          </w:p>
          <w:p w:rsidR="001A73A4" w:rsidRPr="00857307" w:rsidRDefault="001A73A4" w:rsidP="00720F36">
            <w:pPr>
              <w:pStyle w:val="00"/>
            </w:pPr>
            <w:r w:rsidRPr="00857307">
              <w:t>Общим собранием акционеров</w:t>
            </w:r>
          </w:p>
          <w:p w:rsidR="001A73A4" w:rsidRPr="00857307" w:rsidRDefault="001A73A4" w:rsidP="00720F36">
            <w:pPr>
              <w:pStyle w:val="00"/>
            </w:pPr>
            <w:r w:rsidRPr="00857307">
              <w:t>ОАО «Брокерский дом «ОТКРЫТИЕ»</w:t>
            </w:r>
          </w:p>
          <w:p w:rsidR="001A73A4" w:rsidRPr="00857307" w:rsidRDefault="001A73A4" w:rsidP="00720F36">
            <w:pPr>
              <w:pStyle w:val="00"/>
            </w:pPr>
            <w:r w:rsidRPr="00857307">
              <w:t xml:space="preserve">Протокол № 2015-06-30 </w:t>
            </w:r>
          </w:p>
          <w:p w:rsidR="001A73A4" w:rsidRPr="00857307" w:rsidRDefault="001A73A4" w:rsidP="00FF1F66">
            <w:pPr>
              <w:pStyle w:val="00"/>
              <w:rPr>
                <w:lang w:val="x-none"/>
              </w:rPr>
            </w:pPr>
            <w:r w:rsidRPr="00857307">
              <w:t>от «</w:t>
            </w:r>
            <w:r w:rsidR="00FF1F66">
              <w:t>30</w:t>
            </w:r>
            <w:r w:rsidRPr="00857307">
              <w:t xml:space="preserve">» </w:t>
            </w:r>
            <w:r w:rsidR="00FF1F66">
              <w:t>июня</w:t>
            </w:r>
            <w:r w:rsidRPr="00857307">
              <w:t xml:space="preserve"> 2015 г.</w:t>
            </w:r>
          </w:p>
        </w:tc>
      </w:tr>
    </w:tbl>
    <w:p w:rsidR="001A73A4" w:rsidRPr="00857307" w:rsidRDefault="001A73A4" w:rsidP="001A73A4">
      <w:pPr>
        <w:pStyle w:val="04"/>
        <w:rPr>
          <w:bCs/>
        </w:rPr>
      </w:pPr>
      <w:r w:rsidRPr="00857307">
        <w:rPr>
          <w:bCs/>
        </w:rPr>
        <w:t>ГОДОВОЙ ОТЧЕТ</w:t>
      </w:r>
    </w:p>
    <w:p w:rsidR="001A73A4" w:rsidRPr="00857307" w:rsidRDefault="001A73A4" w:rsidP="001A73A4">
      <w:pPr>
        <w:pStyle w:val="05"/>
      </w:pPr>
      <w:r w:rsidRPr="00857307">
        <w:t>Открытого акционерного общества</w:t>
      </w:r>
    </w:p>
    <w:p w:rsidR="001A73A4" w:rsidRPr="00857307" w:rsidRDefault="001A73A4" w:rsidP="001A73A4">
      <w:pPr>
        <w:pStyle w:val="05"/>
      </w:pPr>
      <w:r w:rsidRPr="00857307">
        <w:t>«Брокерский дом «ОТКРЫТИЕ»</w:t>
      </w:r>
    </w:p>
    <w:p w:rsidR="001A73A4" w:rsidRPr="00857307" w:rsidRDefault="001A73A4" w:rsidP="001A73A4">
      <w:pPr>
        <w:pStyle w:val="05"/>
      </w:pPr>
      <w:r w:rsidRPr="00857307">
        <w:t>по итогам работы за 2014 год</w:t>
      </w: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Default="001A73A4" w:rsidP="001A73A4">
      <w:pPr>
        <w:pStyle w:val="aff"/>
        <w:rPr>
          <w:lang w:val="en-US"/>
        </w:rPr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</w:p>
    <w:p w:rsidR="001A73A4" w:rsidRPr="00857307" w:rsidRDefault="001A73A4" w:rsidP="001A73A4">
      <w:pPr>
        <w:pStyle w:val="aff"/>
      </w:pPr>
      <w:r w:rsidRPr="00857307">
        <w:t xml:space="preserve">Москва 2015 </w:t>
      </w:r>
    </w:p>
    <w:p w:rsidR="001A73A4" w:rsidRPr="00857307" w:rsidRDefault="001A73A4" w:rsidP="001A73A4">
      <w:pPr>
        <w:pStyle w:val="aff"/>
        <w:sectPr w:rsidR="001A73A4" w:rsidRPr="00857307" w:rsidSect="00BB05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402" w:right="851" w:bottom="964" w:left="1701" w:header="1134" w:footer="567" w:gutter="0"/>
          <w:cols w:space="708"/>
          <w:titlePg/>
          <w:docGrid w:linePitch="360"/>
        </w:sectPr>
      </w:pPr>
    </w:p>
    <w:p w:rsidR="001A73A4" w:rsidRPr="00857307" w:rsidRDefault="001A73A4" w:rsidP="001A73A4">
      <w:pPr>
        <w:pStyle w:val="aff"/>
      </w:pPr>
      <w:r w:rsidRPr="00857307">
        <w:lastRenderedPageBreak/>
        <w:t>СОДЕРЖАНИЕ:</w:t>
      </w:r>
    </w:p>
    <w:p w:rsidR="001A73A4" w:rsidRPr="00857307" w:rsidRDefault="001A73A4" w:rsidP="001A73A4">
      <w:pPr>
        <w:pStyle w:val="050"/>
      </w:pPr>
    </w:p>
    <w:p w:rsidR="0060285E" w:rsidRDefault="001A73A4" w:rsidP="0060285E">
      <w:pPr>
        <w:pStyle w:val="13"/>
        <w:tabs>
          <w:tab w:val="clear" w:pos="993"/>
          <w:tab w:val="left" w:pos="42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857307">
        <w:fldChar w:fldCharType="begin"/>
      </w:r>
      <w:r w:rsidRPr="00857307">
        <w:instrText xml:space="preserve"> TOC \h \z \t "07 НУМЕРАЦИЯ В ТЕКСТЕ 1.0;1" </w:instrText>
      </w:r>
      <w:r w:rsidRPr="00857307">
        <w:fldChar w:fldCharType="separate"/>
      </w:r>
      <w:hyperlink w:anchor="_Toc423027488" w:history="1">
        <w:r w:rsidR="0060285E" w:rsidRPr="00C57E99">
          <w:rPr>
            <w:rStyle w:val="afd"/>
            <w:noProof/>
          </w:rPr>
          <w:t>1.</w:t>
        </w:r>
        <w:r w:rsidR="0060285E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60285E" w:rsidRPr="00C57E99">
          <w:rPr>
            <w:rStyle w:val="afd"/>
            <w:noProof/>
          </w:rPr>
          <w:t>ПОЛОЖЕНИЕ ОБЩЕСТВА В ОТРАСЛИ</w:t>
        </w:r>
        <w:r w:rsidR="0060285E">
          <w:rPr>
            <w:noProof/>
            <w:webHidden/>
          </w:rPr>
          <w:tab/>
        </w:r>
        <w:r w:rsidR="0060285E">
          <w:rPr>
            <w:noProof/>
            <w:webHidden/>
          </w:rPr>
          <w:fldChar w:fldCharType="begin"/>
        </w:r>
        <w:r w:rsidR="0060285E">
          <w:rPr>
            <w:noProof/>
            <w:webHidden/>
          </w:rPr>
          <w:instrText xml:space="preserve"> PAGEREF _Toc423027488 \h </w:instrText>
        </w:r>
        <w:r w:rsidR="0060285E">
          <w:rPr>
            <w:noProof/>
            <w:webHidden/>
          </w:rPr>
        </w:r>
        <w:r w:rsidR="0060285E">
          <w:rPr>
            <w:noProof/>
            <w:webHidden/>
          </w:rPr>
          <w:fldChar w:fldCharType="separate"/>
        </w:r>
        <w:r w:rsidR="00392D78">
          <w:rPr>
            <w:noProof/>
            <w:webHidden/>
          </w:rPr>
          <w:t>3</w:t>
        </w:r>
        <w:r w:rsidR="0060285E">
          <w:rPr>
            <w:noProof/>
            <w:webHidden/>
          </w:rPr>
          <w:fldChar w:fldCharType="end"/>
        </w:r>
      </w:hyperlink>
    </w:p>
    <w:p w:rsidR="0060285E" w:rsidRDefault="00FF1F66" w:rsidP="0060285E">
      <w:pPr>
        <w:pStyle w:val="13"/>
        <w:tabs>
          <w:tab w:val="clear" w:pos="993"/>
          <w:tab w:val="left" w:pos="42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3027489" w:history="1">
        <w:r w:rsidR="0060285E" w:rsidRPr="00C57E99">
          <w:rPr>
            <w:rStyle w:val="afd"/>
            <w:noProof/>
          </w:rPr>
          <w:t>2.</w:t>
        </w:r>
        <w:r w:rsidR="0060285E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60285E" w:rsidRPr="00C57E99">
          <w:rPr>
            <w:rStyle w:val="afd"/>
            <w:noProof/>
          </w:rPr>
          <w:t>ПРИОРИТЕТНЫЕ НАПРАВЛЕНИЯ ДЕЯТЕЛЬНОСТИ ОБЩЕСТВА</w:t>
        </w:r>
        <w:r w:rsidR="0060285E">
          <w:rPr>
            <w:noProof/>
            <w:webHidden/>
          </w:rPr>
          <w:tab/>
        </w:r>
        <w:r w:rsidR="0060285E">
          <w:rPr>
            <w:noProof/>
            <w:webHidden/>
          </w:rPr>
          <w:fldChar w:fldCharType="begin"/>
        </w:r>
        <w:r w:rsidR="0060285E">
          <w:rPr>
            <w:noProof/>
            <w:webHidden/>
          </w:rPr>
          <w:instrText xml:space="preserve"> PAGEREF _Toc423027489 \h </w:instrText>
        </w:r>
        <w:r w:rsidR="0060285E">
          <w:rPr>
            <w:noProof/>
            <w:webHidden/>
          </w:rPr>
        </w:r>
        <w:r w:rsidR="0060285E">
          <w:rPr>
            <w:noProof/>
            <w:webHidden/>
          </w:rPr>
          <w:fldChar w:fldCharType="separate"/>
        </w:r>
        <w:r w:rsidR="00392D78">
          <w:rPr>
            <w:noProof/>
            <w:webHidden/>
          </w:rPr>
          <w:t>4</w:t>
        </w:r>
        <w:r w:rsidR="0060285E">
          <w:rPr>
            <w:noProof/>
            <w:webHidden/>
          </w:rPr>
          <w:fldChar w:fldCharType="end"/>
        </w:r>
      </w:hyperlink>
    </w:p>
    <w:p w:rsidR="0060285E" w:rsidRDefault="00FF1F66" w:rsidP="0060285E">
      <w:pPr>
        <w:pStyle w:val="13"/>
        <w:tabs>
          <w:tab w:val="clear" w:pos="993"/>
          <w:tab w:val="left" w:pos="42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3027490" w:history="1">
        <w:r w:rsidR="0060285E" w:rsidRPr="00C57E99">
          <w:rPr>
            <w:rStyle w:val="afd"/>
            <w:noProof/>
          </w:rPr>
          <w:t>3.</w:t>
        </w:r>
        <w:r w:rsidR="0060285E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60285E" w:rsidRPr="00C57E99">
          <w:rPr>
            <w:rStyle w:val="afd"/>
            <w:noProof/>
          </w:rPr>
          <w:t>ОТЧЕТ СОВЕТА ДИРЕКТОРОВ ОБЩЕСТВА О РЕЗУЛЬТАТАХ РАЗВИТИЯ ОБЩЕСТВА ПО ПРИОРИТЕТНЫМ НАПРАВЛЕНИЯМ ЕГО ДЕЯТЕЛЬНОСТИ</w:t>
        </w:r>
        <w:r w:rsidR="0060285E">
          <w:rPr>
            <w:noProof/>
            <w:webHidden/>
          </w:rPr>
          <w:tab/>
        </w:r>
        <w:r w:rsidR="0060285E">
          <w:rPr>
            <w:noProof/>
            <w:webHidden/>
          </w:rPr>
          <w:fldChar w:fldCharType="begin"/>
        </w:r>
        <w:r w:rsidR="0060285E">
          <w:rPr>
            <w:noProof/>
            <w:webHidden/>
          </w:rPr>
          <w:instrText xml:space="preserve"> PAGEREF _Toc423027490 \h </w:instrText>
        </w:r>
        <w:r w:rsidR="0060285E">
          <w:rPr>
            <w:noProof/>
            <w:webHidden/>
          </w:rPr>
        </w:r>
        <w:r w:rsidR="0060285E">
          <w:rPr>
            <w:noProof/>
            <w:webHidden/>
          </w:rPr>
          <w:fldChar w:fldCharType="separate"/>
        </w:r>
        <w:r w:rsidR="00392D78">
          <w:rPr>
            <w:noProof/>
            <w:webHidden/>
          </w:rPr>
          <w:t>4</w:t>
        </w:r>
        <w:r w:rsidR="0060285E">
          <w:rPr>
            <w:noProof/>
            <w:webHidden/>
          </w:rPr>
          <w:fldChar w:fldCharType="end"/>
        </w:r>
      </w:hyperlink>
    </w:p>
    <w:p w:rsidR="0060285E" w:rsidRDefault="00FF1F66" w:rsidP="0060285E">
      <w:pPr>
        <w:pStyle w:val="13"/>
        <w:tabs>
          <w:tab w:val="clear" w:pos="993"/>
          <w:tab w:val="left" w:pos="42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3027491" w:history="1">
        <w:r w:rsidR="0060285E" w:rsidRPr="00C57E99">
          <w:rPr>
            <w:rStyle w:val="afd"/>
            <w:noProof/>
          </w:rPr>
          <w:t>4.</w:t>
        </w:r>
        <w:r w:rsidR="0060285E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60285E" w:rsidRPr="00C57E99">
          <w:rPr>
            <w:rStyle w:val="afd"/>
            <w:noProof/>
          </w:rPr>
          <w:t>ИНФОРМАЦИЯ ОБ ОБЪЁМЕ КАЖДОГО ИЗ ИСПОЛЬЗОВАННЫХ ОБЩЕСТВОМ ВИДОВ ЭНЕРГЕТИЧЕСКИХ РЕСУРСОВ</w:t>
        </w:r>
        <w:r w:rsidR="0060285E">
          <w:rPr>
            <w:noProof/>
            <w:webHidden/>
          </w:rPr>
          <w:tab/>
        </w:r>
        <w:r w:rsidR="0060285E">
          <w:rPr>
            <w:noProof/>
            <w:webHidden/>
          </w:rPr>
          <w:fldChar w:fldCharType="begin"/>
        </w:r>
        <w:r w:rsidR="0060285E">
          <w:rPr>
            <w:noProof/>
            <w:webHidden/>
          </w:rPr>
          <w:instrText xml:space="preserve"> PAGEREF _Toc423027491 \h </w:instrText>
        </w:r>
        <w:r w:rsidR="0060285E">
          <w:rPr>
            <w:noProof/>
            <w:webHidden/>
          </w:rPr>
        </w:r>
        <w:r w:rsidR="0060285E">
          <w:rPr>
            <w:noProof/>
            <w:webHidden/>
          </w:rPr>
          <w:fldChar w:fldCharType="separate"/>
        </w:r>
        <w:r w:rsidR="00392D78">
          <w:rPr>
            <w:noProof/>
            <w:webHidden/>
          </w:rPr>
          <w:t>5</w:t>
        </w:r>
        <w:r w:rsidR="0060285E">
          <w:rPr>
            <w:noProof/>
            <w:webHidden/>
          </w:rPr>
          <w:fldChar w:fldCharType="end"/>
        </w:r>
      </w:hyperlink>
    </w:p>
    <w:p w:rsidR="0060285E" w:rsidRDefault="00FF1F66" w:rsidP="0060285E">
      <w:pPr>
        <w:pStyle w:val="13"/>
        <w:tabs>
          <w:tab w:val="clear" w:pos="993"/>
          <w:tab w:val="left" w:pos="42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3027492" w:history="1">
        <w:r w:rsidR="0060285E" w:rsidRPr="00C57E99">
          <w:rPr>
            <w:rStyle w:val="afd"/>
            <w:noProof/>
          </w:rPr>
          <w:t>5.</w:t>
        </w:r>
        <w:r w:rsidR="0060285E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60285E" w:rsidRPr="00C57E99">
          <w:rPr>
            <w:rStyle w:val="afd"/>
            <w:noProof/>
          </w:rPr>
          <w:t>ПЕРСПЕКТИВЫ РАЗВИТИЯ ОБЩЕСТВА</w:t>
        </w:r>
        <w:r w:rsidR="0060285E">
          <w:rPr>
            <w:noProof/>
            <w:webHidden/>
          </w:rPr>
          <w:tab/>
        </w:r>
        <w:r w:rsidR="0060285E">
          <w:rPr>
            <w:noProof/>
            <w:webHidden/>
          </w:rPr>
          <w:fldChar w:fldCharType="begin"/>
        </w:r>
        <w:r w:rsidR="0060285E">
          <w:rPr>
            <w:noProof/>
            <w:webHidden/>
          </w:rPr>
          <w:instrText xml:space="preserve"> PAGEREF _Toc423027492 \h </w:instrText>
        </w:r>
        <w:r w:rsidR="0060285E">
          <w:rPr>
            <w:noProof/>
            <w:webHidden/>
          </w:rPr>
        </w:r>
        <w:r w:rsidR="0060285E">
          <w:rPr>
            <w:noProof/>
            <w:webHidden/>
          </w:rPr>
          <w:fldChar w:fldCharType="separate"/>
        </w:r>
        <w:r w:rsidR="00392D78">
          <w:rPr>
            <w:noProof/>
            <w:webHidden/>
          </w:rPr>
          <w:t>5</w:t>
        </w:r>
        <w:r w:rsidR="0060285E">
          <w:rPr>
            <w:noProof/>
            <w:webHidden/>
          </w:rPr>
          <w:fldChar w:fldCharType="end"/>
        </w:r>
      </w:hyperlink>
    </w:p>
    <w:p w:rsidR="0060285E" w:rsidRDefault="00FF1F66" w:rsidP="0060285E">
      <w:pPr>
        <w:pStyle w:val="13"/>
        <w:tabs>
          <w:tab w:val="clear" w:pos="993"/>
          <w:tab w:val="left" w:pos="42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3027493" w:history="1">
        <w:r w:rsidR="0060285E" w:rsidRPr="00C57E99">
          <w:rPr>
            <w:rStyle w:val="afd"/>
            <w:noProof/>
          </w:rPr>
          <w:t>6.</w:t>
        </w:r>
        <w:r w:rsidR="0060285E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60285E" w:rsidRPr="00C57E99">
          <w:rPr>
            <w:rStyle w:val="afd"/>
            <w:noProof/>
          </w:rPr>
          <w:t>ОТЧЕТ О ВЫПЛАТЕ ОБЪЯВЛЕННЫХ (НАЧИСЛЕННЫХ) ДИВИДЕНДОВ</w:t>
        </w:r>
        <w:r w:rsidR="0060285E">
          <w:rPr>
            <w:noProof/>
            <w:webHidden/>
          </w:rPr>
          <w:tab/>
        </w:r>
        <w:r w:rsidR="0060285E">
          <w:rPr>
            <w:noProof/>
            <w:webHidden/>
          </w:rPr>
          <w:fldChar w:fldCharType="begin"/>
        </w:r>
        <w:r w:rsidR="0060285E">
          <w:rPr>
            <w:noProof/>
            <w:webHidden/>
          </w:rPr>
          <w:instrText xml:space="preserve"> PAGEREF _Toc423027493 \h </w:instrText>
        </w:r>
        <w:r w:rsidR="0060285E">
          <w:rPr>
            <w:noProof/>
            <w:webHidden/>
          </w:rPr>
        </w:r>
        <w:r w:rsidR="0060285E">
          <w:rPr>
            <w:noProof/>
            <w:webHidden/>
          </w:rPr>
          <w:fldChar w:fldCharType="separate"/>
        </w:r>
        <w:r w:rsidR="00392D78">
          <w:rPr>
            <w:noProof/>
            <w:webHidden/>
          </w:rPr>
          <w:t>6</w:t>
        </w:r>
        <w:r w:rsidR="0060285E">
          <w:rPr>
            <w:noProof/>
            <w:webHidden/>
          </w:rPr>
          <w:fldChar w:fldCharType="end"/>
        </w:r>
      </w:hyperlink>
    </w:p>
    <w:p w:rsidR="0060285E" w:rsidRDefault="00FF1F66" w:rsidP="0060285E">
      <w:pPr>
        <w:pStyle w:val="13"/>
        <w:tabs>
          <w:tab w:val="clear" w:pos="993"/>
          <w:tab w:val="left" w:pos="42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3027494" w:history="1">
        <w:r w:rsidR="0060285E" w:rsidRPr="00C57E99">
          <w:rPr>
            <w:rStyle w:val="afd"/>
            <w:noProof/>
          </w:rPr>
          <w:t>7.</w:t>
        </w:r>
        <w:r w:rsidR="0060285E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60285E" w:rsidRPr="00C57E99">
          <w:rPr>
            <w:rStyle w:val="afd"/>
            <w:noProof/>
          </w:rPr>
          <w:t>ОПИСАНИЕ ОСНОВНЫХ ФАКТОРОВ РИСКА, СВЯЗАННЫХ С ДЕЯТЕЛЬНОСТЬЮ ОБЩЕСТВА</w:t>
        </w:r>
        <w:r w:rsidR="0060285E">
          <w:rPr>
            <w:noProof/>
            <w:webHidden/>
          </w:rPr>
          <w:tab/>
        </w:r>
        <w:r w:rsidR="0060285E">
          <w:rPr>
            <w:noProof/>
            <w:webHidden/>
          </w:rPr>
          <w:fldChar w:fldCharType="begin"/>
        </w:r>
        <w:r w:rsidR="0060285E">
          <w:rPr>
            <w:noProof/>
            <w:webHidden/>
          </w:rPr>
          <w:instrText xml:space="preserve"> PAGEREF _Toc423027494 \h </w:instrText>
        </w:r>
        <w:r w:rsidR="0060285E">
          <w:rPr>
            <w:noProof/>
            <w:webHidden/>
          </w:rPr>
        </w:r>
        <w:r w:rsidR="0060285E">
          <w:rPr>
            <w:noProof/>
            <w:webHidden/>
          </w:rPr>
          <w:fldChar w:fldCharType="separate"/>
        </w:r>
        <w:r w:rsidR="00392D78">
          <w:rPr>
            <w:noProof/>
            <w:webHidden/>
          </w:rPr>
          <w:t>6</w:t>
        </w:r>
        <w:r w:rsidR="0060285E">
          <w:rPr>
            <w:noProof/>
            <w:webHidden/>
          </w:rPr>
          <w:fldChar w:fldCharType="end"/>
        </w:r>
      </w:hyperlink>
    </w:p>
    <w:p w:rsidR="0060285E" w:rsidRDefault="00FF1F66" w:rsidP="0060285E">
      <w:pPr>
        <w:pStyle w:val="13"/>
        <w:tabs>
          <w:tab w:val="clear" w:pos="993"/>
          <w:tab w:val="left" w:pos="42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3027495" w:history="1">
        <w:r w:rsidR="0060285E" w:rsidRPr="00C57E99">
          <w:rPr>
            <w:rStyle w:val="afd"/>
            <w:noProof/>
          </w:rPr>
          <w:t>8.</w:t>
        </w:r>
        <w:r w:rsidR="0060285E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60285E" w:rsidRPr="00C57E99">
          <w:rPr>
            <w:rStyle w:val="afd"/>
            <w:noProof/>
          </w:rPr>
          <w:t>ПЕРЕЧЕНЬ СОВЕРШЕННЫХ ОБЩЕСТВОМ В ОТЧЕТНОМ ГОДУ СДЕЛОК, ПРИЗНАВАЕМЫХ КРУПНЫМИ СДЕЛКАМИ, А ТАКЖЕ ИНЫХ СДЕЛОК, НА СОВЕРШЕНИЕ КОТОРЫХ В СООТВЕТСТВИИ С УСТАВОМ ОБЩЕСТВА РАСПРОСТРАНЯЕТСЯ ПОРЯДОК ОДОБРЕНИЯ КРУПНЫХ СДЕЛОК</w:t>
        </w:r>
        <w:r w:rsidR="0060285E">
          <w:rPr>
            <w:noProof/>
            <w:webHidden/>
          </w:rPr>
          <w:tab/>
        </w:r>
        <w:r w:rsidR="0060285E">
          <w:rPr>
            <w:noProof/>
            <w:webHidden/>
          </w:rPr>
          <w:fldChar w:fldCharType="begin"/>
        </w:r>
        <w:r w:rsidR="0060285E">
          <w:rPr>
            <w:noProof/>
            <w:webHidden/>
          </w:rPr>
          <w:instrText xml:space="preserve"> PAGEREF _Toc423027495 \h </w:instrText>
        </w:r>
        <w:r w:rsidR="0060285E">
          <w:rPr>
            <w:noProof/>
            <w:webHidden/>
          </w:rPr>
        </w:r>
        <w:r w:rsidR="0060285E">
          <w:rPr>
            <w:noProof/>
            <w:webHidden/>
          </w:rPr>
          <w:fldChar w:fldCharType="separate"/>
        </w:r>
        <w:r w:rsidR="00392D78">
          <w:rPr>
            <w:noProof/>
            <w:webHidden/>
          </w:rPr>
          <w:t>12</w:t>
        </w:r>
        <w:r w:rsidR="0060285E">
          <w:rPr>
            <w:noProof/>
            <w:webHidden/>
          </w:rPr>
          <w:fldChar w:fldCharType="end"/>
        </w:r>
      </w:hyperlink>
    </w:p>
    <w:p w:rsidR="0060285E" w:rsidRDefault="00FF1F66" w:rsidP="0060285E">
      <w:pPr>
        <w:pStyle w:val="13"/>
        <w:tabs>
          <w:tab w:val="clear" w:pos="993"/>
          <w:tab w:val="left" w:pos="42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3027496" w:history="1">
        <w:r w:rsidR="0060285E" w:rsidRPr="00C57E99">
          <w:rPr>
            <w:rStyle w:val="afd"/>
            <w:noProof/>
          </w:rPr>
          <w:t>9.</w:t>
        </w:r>
        <w:r w:rsidR="0060285E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60285E" w:rsidRPr="00C57E99">
          <w:rPr>
            <w:rStyle w:val="afd"/>
            <w:noProof/>
          </w:rPr>
          <w:t>ПЕРЕЧЕНЬ СОВЕРШЕННЫХ ОБЩЕСТВОМ В ОТЧЕТНОМ ГОДУ СДЕЛОК, В СОВЕРШЕНИИ КОТОРЫХ ИМЕЕТСЯ ЗАИНТЕРЕСОВАННОСТЬ</w:t>
        </w:r>
        <w:r w:rsidR="0060285E">
          <w:rPr>
            <w:noProof/>
            <w:webHidden/>
          </w:rPr>
          <w:tab/>
        </w:r>
        <w:r w:rsidR="0060285E">
          <w:rPr>
            <w:noProof/>
            <w:webHidden/>
          </w:rPr>
          <w:fldChar w:fldCharType="begin"/>
        </w:r>
        <w:r w:rsidR="0060285E">
          <w:rPr>
            <w:noProof/>
            <w:webHidden/>
          </w:rPr>
          <w:instrText xml:space="preserve"> PAGEREF _Toc423027496 \h </w:instrText>
        </w:r>
        <w:r w:rsidR="0060285E">
          <w:rPr>
            <w:noProof/>
            <w:webHidden/>
          </w:rPr>
        </w:r>
        <w:r w:rsidR="0060285E">
          <w:rPr>
            <w:noProof/>
            <w:webHidden/>
          </w:rPr>
          <w:fldChar w:fldCharType="separate"/>
        </w:r>
        <w:r w:rsidR="00392D78">
          <w:rPr>
            <w:noProof/>
            <w:webHidden/>
          </w:rPr>
          <w:t>12</w:t>
        </w:r>
        <w:r w:rsidR="0060285E">
          <w:rPr>
            <w:noProof/>
            <w:webHidden/>
          </w:rPr>
          <w:fldChar w:fldCharType="end"/>
        </w:r>
      </w:hyperlink>
    </w:p>
    <w:p w:rsidR="0060285E" w:rsidRDefault="00FF1F66" w:rsidP="0060285E">
      <w:pPr>
        <w:pStyle w:val="13"/>
        <w:tabs>
          <w:tab w:val="clear" w:pos="993"/>
          <w:tab w:val="left" w:pos="42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3027497" w:history="1">
        <w:r w:rsidR="0060285E" w:rsidRPr="00C57E99">
          <w:rPr>
            <w:rStyle w:val="afd"/>
            <w:noProof/>
          </w:rPr>
          <w:t>10.</w:t>
        </w:r>
        <w:r w:rsidR="0060285E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60285E" w:rsidRPr="00C57E99">
          <w:rPr>
            <w:rStyle w:val="afd"/>
            <w:noProof/>
          </w:rPr>
          <w:t>СОСТАВ СОВЕТА ДИРЕКТОРОВ ОБЩЕСТВА</w:t>
        </w:r>
        <w:r w:rsidR="0060285E">
          <w:rPr>
            <w:noProof/>
            <w:webHidden/>
          </w:rPr>
          <w:tab/>
        </w:r>
        <w:r w:rsidR="0060285E">
          <w:rPr>
            <w:noProof/>
            <w:webHidden/>
          </w:rPr>
          <w:fldChar w:fldCharType="begin"/>
        </w:r>
        <w:r w:rsidR="0060285E">
          <w:rPr>
            <w:noProof/>
            <w:webHidden/>
          </w:rPr>
          <w:instrText xml:space="preserve"> PAGEREF _Toc423027497 \h </w:instrText>
        </w:r>
        <w:r w:rsidR="0060285E">
          <w:rPr>
            <w:noProof/>
            <w:webHidden/>
          </w:rPr>
        </w:r>
        <w:r w:rsidR="0060285E">
          <w:rPr>
            <w:noProof/>
            <w:webHidden/>
          </w:rPr>
          <w:fldChar w:fldCharType="separate"/>
        </w:r>
        <w:r w:rsidR="00392D78">
          <w:rPr>
            <w:noProof/>
            <w:webHidden/>
          </w:rPr>
          <w:t>12</w:t>
        </w:r>
        <w:r w:rsidR="0060285E">
          <w:rPr>
            <w:noProof/>
            <w:webHidden/>
          </w:rPr>
          <w:fldChar w:fldCharType="end"/>
        </w:r>
      </w:hyperlink>
    </w:p>
    <w:p w:rsidR="0060285E" w:rsidRDefault="00FF1F66" w:rsidP="0060285E">
      <w:pPr>
        <w:pStyle w:val="13"/>
        <w:tabs>
          <w:tab w:val="clear" w:pos="993"/>
          <w:tab w:val="left" w:pos="42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3027498" w:history="1">
        <w:r w:rsidR="0060285E" w:rsidRPr="00C57E99">
          <w:rPr>
            <w:rStyle w:val="afd"/>
            <w:noProof/>
          </w:rPr>
          <w:t>11.</w:t>
        </w:r>
        <w:r w:rsidR="0060285E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60285E" w:rsidRPr="00C57E99">
          <w:rPr>
            <w:rStyle w:val="afd"/>
            <w:noProof/>
          </w:rPr>
          <w:t>СВЕДЕНИЯ О ЛИЦЕ, ЗАНИМАЮЩЕМ ДОЛЖНОСТЬ ЕДИНОЛИЧНОГО ИСПОЛНИТЕЛЬНОГО ОРГАНА ОБЩЕСТВА</w:t>
        </w:r>
        <w:r w:rsidR="0060285E">
          <w:rPr>
            <w:noProof/>
            <w:webHidden/>
          </w:rPr>
          <w:tab/>
        </w:r>
        <w:r w:rsidR="0060285E">
          <w:rPr>
            <w:noProof/>
            <w:webHidden/>
          </w:rPr>
          <w:fldChar w:fldCharType="begin"/>
        </w:r>
        <w:r w:rsidR="0060285E">
          <w:rPr>
            <w:noProof/>
            <w:webHidden/>
          </w:rPr>
          <w:instrText xml:space="preserve"> PAGEREF _Toc423027498 \h </w:instrText>
        </w:r>
        <w:r w:rsidR="0060285E">
          <w:rPr>
            <w:noProof/>
            <w:webHidden/>
          </w:rPr>
        </w:r>
        <w:r w:rsidR="0060285E">
          <w:rPr>
            <w:noProof/>
            <w:webHidden/>
          </w:rPr>
          <w:fldChar w:fldCharType="separate"/>
        </w:r>
        <w:r w:rsidR="00392D78">
          <w:rPr>
            <w:noProof/>
            <w:webHidden/>
          </w:rPr>
          <w:t>16</w:t>
        </w:r>
        <w:r w:rsidR="0060285E">
          <w:rPr>
            <w:noProof/>
            <w:webHidden/>
          </w:rPr>
          <w:fldChar w:fldCharType="end"/>
        </w:r>
      </w:hyperlink>
    </w:p>
    <w:p w:rsidR="0060285E" w:rsidRDefault="00FF1F66" w:rsidP="0060285E">
      <w:pPr>
        <w:pStyle w:val="13"/>
        <w:tabs>
          <w:tab w:val="clear" w:pos="993"/>
          <w:tab w:val="left" w:pos="42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3027499" w:history="1">
        <w:r w:rsidR="0060285E" w:rsidRPr="00C57E99">
          <w:rPr>
            <w:rStyle w:val="afd"/>
            <w:noProof/>
          </w:rPr>
          <w:t>12.</w:t>
        </w:r>
        <w:r w:rsidR="0060285E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60285E" w:rsidRPr="00C57E99">
          <w:rPr>
            <w:rStyle w:val="afd"/>
            <w:noProof/>
          </w:rPr>
          <w:t>ОСНОВНЫЕ ПОЛОЖЕНИЯ ВНУТРЕННЕГО ДОКУМЕНТА ОБЩЕСТВА В ОБЛАСТИ ВОЗНАГРАЖДЕНИЯ И (ИЛИ) КОМПЕНСАЦИИ РАСХОДОВ</w:t>
        </w:r>
        <w:r w:rsidR="0060285E">
          <w:rPr>
            <w:noProof/>
            <w:webHidden/>
          </w:rPr>
          <w:tab/>
        </w:r>
        <w:r w:rsidR="0060285E">
          <w:rPr>
            <w:noProof/>
            <w:webHidden/>
          </w:rPr>
          <w:fldChar w:fldCharType="begin"/>
        </w:r>
        <w:r w:rsidR="0060285E">
          <w:rPr>
            <w:noProof/>
            <w:webHidden/>
          </w:rPr>
          <w:instrText xml:space="preserve"> PAGEREF _Toc423027499 \h </w:instrText>
        </w:r>
        <w:r w:rsidR="0060285E">
          <w:rPr>
            <w:noProof/>
            <w:webHidden/>
          </w:rPr>
        </w:r>
        <w:r w:rsidR="0060285E">
          <w:rPr>
            <w:noProof/>
            <w:webHidden/>
          </w:rPr>
          <w:fldChar w:fldCharType="separate"/>
        </w:r>
        <w:r w:rsidR="00392D78">
          <w:rPr>
            <w:noProof/>
            <w:webHidden/>
          </w:rPr>
          <w:t>18</w:t>
        </w:r>
        <w:r w:rsidR="0060285E">
          <w:rPr>
            <w:noProof/>
            <w:webHidden/>
          </w:rPr>
          <w:fldChar w:fldCharType="end"/>
        </w:r>
      </w:hyperlink>
    </w:p>
    <w:p w:rsidR="0060285E" w:rsidRDefault="00FF1F66" w:rsidP="0060285E">
      <w:pPr>
        <w:pStyle w:val="13"/>
        <w:tabs>
          <w:tab w:val="clear" w:pos="993"/>
          <w:tab w:val="left" w:pos="42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3027500" w:history="1">
        <w:r w:rsidR="0060285E" w:rsidRPr="00C57E99">
          <w:rPr>
            <w:rStyle w:val="afd"/>
            <w:noProof/>
          </w:rPr>
          <w:t>13.</w:t>
        </w:r>
        <w:r w:rsidR="0060285E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60285E" w:rsidRPr="00C57E99">
          <w:rPr>
            <w:rStyle w:val="afd"/>
            <w:noProof/>
          </w:rPr>
          <w:t>СВЕДЕНИЯ О СОБЛЮДЕНИИ ОБЩЕСТВОМ КОДЕКСА КОРПОРАТИВНОГО УПРАВЛЕНИЯ, РЕКОМЕНДОВАННОГО К ПРИМЕНЕНИЮ БАНКОМ РОССИИ</w:t>
        </w:r>
        <w:r w:rsidR="0060285E">
          <w:rPr>
            <w:noProof/>
            <w:webHidden/>
          </w:rPr>
          <w:tab/>
        </w:r>
        <w:r w:rsidR="0060285E">
          <w:rPr>
            <w:noProof/>
            <w:webHidden/>
          </w:rPr>
          <w:fldChar w:fldCharType="begin"/>
        </w:r>
        <w:r w:rsidR="0060285E">
          <w:rPr>
            <w:noProof/>
            <w:webHidden/>
          </w:rPr>
          <w:instrText xml:space="preserve"> PAGEREF _Toc423027500 \h </w:instrText>
        </w:r>
        <w:r w:rsidR="0060285E">
          <w:rPr>
            <w:noProof/>
            <w:webHidden/>
          </w:rPr>
        </w:r>
        <w:r w:rsidR="0060285E">
          <w:rPr>
            <w:noProof/>
            <w:webHidden/>
          </w:rPr>
          <w:fldChar w:fldCharType="separate"/>
        </w:r>
        <w:r w:rsidR="00392D78">
          <w:rPr>
            <w:noProof/>
            <w:webHidden/>
          </w:rPr>
          <w:t>18</w:t>
        </w:r>
        <w:r w:rsidR="0060285E">
          <w:rPr>
            <w:noProof/>
            <w:webHidden/>
          </w:rPr>
          <w:fldChar w:fldCharType="end"/>
        </w:r>
      </w:hyperlink>
    </w:p>
    <w:p w:rsidR="0060285E" w:rsidRDefault="00FF1F66" w:rsidP="0060285E">
      <w:pPr>
        <w:pStyle w:val="13"/>
        <w:tabs>
          <w:tab w:val="clear" w:pos="993"/>
          <w:tab w:val="left" w:pos="42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3027501" w:history="1">
        <w:r w:rsidR="0060285E" w:rsidRPr="00C57E99">
          <w:rPr>
            <w:rStyle w:val="afd"/>
            <w:noProof/>
          </w:rPr>
          <w:t>14. ИНАЯ ИНФОРМАЦИЯ, ПРЕДУСМОТРЕННАЯ УСТАВОМ ИЛИ ИНЫМ ВНУТРЕННИМ ДОКУМЕНТОМ ОБЩЕСТВА</w:t>
        </w:r>
        <w:r w:rsidR="0060285E">
          <w:rPr>
            <w:noProof/>
            <w:webHidden/>
          </w:rPr>
          <w:tab/>
        </w:r>
        <w:r w:rsidR="0060285E">
          <w:rPr>
            <w:noProof/>
            <w:webHidden/>
          </w:rPr>
          <w:fldChar w:fldCharType="begin"/>
        </w:r>
        <w:r w:rsidR="0060285E">
          <w:rPr>
            <w:noProof/>
            <w:webHidden/>
          </w:rPr>
          <w:instrText xml:space="preserve"> PAGEREF _Toc423027501 \h </w:instrText>
        </w:r>
        <w:r w:rsidR="0060285E">
          <w:rPr>
            <w:noProof/>
            <w:webHidden/>
          </w:rPr>
        </w:r>
        <w:r w:rsidR="0060285E">
          <w:rPr>
            <w:noProof/>
            <w:webHidden/>
          </w:rPr>
          <w:fldChar w:fldCharType="separate"/>
        </w:r>
        <w:r w:rsidR="00392D78">
          <w:rPr>
            <w:noProof/>
            <w:webHidden/>
          </w:rPr>
          <w:t>19</w:t>
        </w:r>
        <w:r w:rsidR="0060285E">
          <w:rPr>
            <w:noProof/>
            <w:webHidden/>
          </w:rPr>
          <w:fldChar w:fldCharType="end"/>
        </w:r>
      </w:hyperlink>
    </w:p>
    <w:p w:rsidR="001A73A4" w:rsidRPr="00857307" w:rsidRDefault="001A73A4" w:rsidP="001A73A4">
      <w:pPr>
        <w:pStyle w:val="050"/>
      </w:pPr>
      <w:r w:rsidRPr="00857307">
        <w:fldChar w:fldCharType="end"/>
      </w:r>
    </w:p>
    <w:p w:rsidR="001A73A4" w:rsidRPr="00857307" w:rsidRDefault="001A73A4" w:rsidP="001A73A4">
      <w:pPr>
        <w:pStyle w:val="0710"/>
        <w:rPr>
          <w:szCs w:val="20"/>
        </w:rPr>
      </w:pPr>
      <w:r w:rsidRPr="00857307">
        <w:br w:type="page"/>
      </w:r>
      <w:bookmarkStart w:id="0" w:name="_Toc423027488"/>
      <w:r w:rsidRPr="00857307">
        <w:rPr>
          <w:szCs w:val="20"/>
        </w:rPr>
        <w:lastRenderedPageBreak/>
        <w:t>ПОЛОЖЕНИЕ ОБЩЕСТВА В ОТРАСЛИ</w:t>
      </w:r>
      <w:bookmarkEnd w:id="0"/>
      <w:r w:rsidRPr="00857307">
        <w:rPr>
          <w:szCs w:val="20"/>
        </w:rPr>
        <w:t xml:space="preserve"> </w:t>
      </w:r>
    </w:p>
    <w:p w:rsidR="001A73A4" w:rsidRPr="00857307" w:rsidRDefault="001A73A4" w:rsidP="000E3FE4">
      <w:pPr>
        <w:pStyle w:val="050"/>
        <w:rPr>
          <w:b/>
        </w:rPr>
      </w:pPr>
      <w:r w:rsidRPr="00857307">
        <w:t>Общество продолжает наращивать темпы роста и остается одной из лидирующих брокерских компаний в России.</w:t>
      </w:r>
    </w:p>
    <w:p w:rsidR="001A73A4" w:rsidRPr="00857307" w:rsidRDefault="001A73A4" w:rsidP="000E3FE4">
      <w:pPr>
        <w:pStyle w:val="050"/>
        <w:rPr>
          <w:b/>
          <w:bCs/>
          <w:i/>
          <w:kern w:val="36"/>
        </w:rPr>
      </w:pPr>
      <w:r w:rsidRPr="00857307">
        <w:t>По итогам 2014 года группа компаний ОАО «Открытие Холдинг», в число которых входит Общество (далее – «Группа компаний ОАО «Открытие Холдинг»), заняла 1 место рейтинга «Ведущие операторы фондового рынка - Объем клиентских операций»</w:t>
      </w:r>
      <w:r w:rsidRPr="00857307">
        <w:rPr>
          <w:bCs/>
          <w:i/>
          <w:kern w:val="36"/>
        </w:rPr>
        <w:t xml:space="preserve"> </w:t>
      </w:r>
      <w:r w:rsidRPr="00857307">
        <w:t>(рейтинг составлен ПАО</w:t>
      </w:r>
      <w:r w:rsidR="000E3FE4">
        <w:rPr>
          <w:lang w:val="en-US"/>
        </w:rPr>
        <w:t> </w:t>
      </w:r>
      <w:r w:rsidRPr="00857307">
        <w:t>Московская Биржа, http://moex.com/).</w:t>
      </w:r>
    </w:p>
    <w:p w:rsidR="001A73A4" w:rsidRPr="00857307" w:rsidRDefault="001A73A4" w:rsidP="000E3FE4">
      <w:pPr>
        <w:pStyle w:val="050"/>
        <w:rPr>
          <w:b/>
        </w:rPr>
      </w:pPr>
      <w:r w:rsidRPr="00857307">
        <w:t>«Ведущие операторы фондового рынка - Объем клиентских операций»</w:t>
      </w: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589"/>
      </w:tblGrid>
      <w:tr w:rsidR="001A73A4" w:rsidRPr="00857307" w:rsidTr="00720F36">
        <w:tc>
          <w:tcPr>
            <w:tcW w:w="2500" w:type="pct"/>
            <w:shd w:val="clear" w:color="auto" w:fill="auto"/>
          </w:tcPr>
          <w:p w:rsidR="001A73A4" w:rsidRPr="000E3FE4" w:rsidRDefault="001A73A4" w:rsidP="000E3FE4">
            <w:pPr>
              <w:pStyle w:val="06"/>
              <w:jc w:val="center"/>
              <w:rPr>
                <w:i/>
              </w:rPr>
            </w:pPr>
            <w:r w:rsidRPr="000E3FE4">
              <w:rPr>
                <w:i/>
              </w:rPr>
              <w:t>Итого за 2014 г.</w:t>
            </w:r>
          </w:p>
        </w:tc>
        <w:tc>
          <w:tcPr>
            <w:tcW w:w="2500" w:type="pct"/>
            <w:shd w:val="clear" w:color="auto" w:fill="auto"/>
          </w:tcPr>
          <w:p w:rsidR="001A73A4" w:rsidRPr="000E3FE4" w:rsidRDefault="001A73A4" w:rsidP="000E3FE4">
            <w:pPr>
              <w:pStyle w:val="06"/>
              <w:jc w:val="center"/>
              <w:rPr>
                <w:i/>
              </w:rPr>
            </w:pPr>
            <w:r w:rsidRPr="000E3FE4">
              <w:rPr>
                <w:i/>
              </w:rPr>
              <w:t>Наименование компании</w:t>
            </w:r>
          </w:p>
        </w:tc>
      </w:tr>
      <w:tr w:rsidR="001A73A4" w:rsidRPr="00857307" w:rsidTr="00720F36">
        <w:tc>
          <w:tcPr>
            <w:tcW w:w="2500" w:type="pct"/>
            <w:shd w:val="clear" w:color="auto" w:fill="auto"/>
          </w:tcPr>
          <w:p w:rsidR="001A73A4" w:rsidRPr="00857307" w:rsidRDefault="001A73A4" w:rsidP="000E3FE4">
            <w:pPr>
              <w:pStyle w:val="06"/>
            </w:pPr>
            <w:r w:rsidRPr="00857307">
              <w:t>1</w:t>
            </w:r>
          </w:p>
        </w:tc>
        <w:tc>
          <w:tcPr>
            <w:tcW w:w="2500" w:type="pct"/>
            <w:shd w:val="clear" w:color="auto" w:fill="auto"/>
          </w:tcPr>
          <w:p w:rsidR="001A73A4" w:rsidRPr="00857307" w:rsidRDefault="001A73A4" w:rsidP="000E3FE4">
            <w:pPr>
              <w:pStyle w:val="06"/>
            </w:pPr>
            <w:r w:rsidRPr="00857307">
              <w:t>Группа компаний ОАО «Открытие Холдинг»</w:t>
            </w:r>
          </w:p>
        </w:tc>
      </w:tr>
      <w:tr w:rsidR="001A73A4" w:rsidRPr="00857307" w:rsidTr="00720F36">
        <w:tc>
          <w:tcPr>
            <w:tcW w:w="2500" w:type="pct"/>
            <w:shd w:val="clear" w:color="auto" w:fill="auto"/>
          </w:tcPr>
          <w:p w:rsidR="001A73A4" w:rsidRPr="00857307" w:rsidRDefault="001A73A4" w:rsidP="000E3FE4">
            <w:pPr>
              <w:pStyle w:val="06"/>
            </w:pPr>
            <w:r w:rsidRPr="00857307">
              <w:t>2</w:t>
            </w:r>
          </w:p>
        </w:tc>
        <w:tc>
          <w:tcPr>
            <w:tcW w:w="2500" w:type="pct"/>
            <w:shd w:val="clear" w:color="auto" w:fill="auto"/>
          </w:tcPr>
          <w:p w:rsidR="001A73A4" w:rsidRPr="00857307" w:rsidRDefault="001A73A4" w:rsidP="000E3FE4">
            <w:pPr>
              <w:pStyle w:val="06"/>
            </w:pPr>
            <w:r w:rsidRPr="00857307">
              <w:t>ООО «Компания БКС»</w:t>
            </w:r>
          </w:p>
        </w:tc>
      </w:tr>
      <w:tr w:rsidR="001A73A4" w:rsidRPr="00857307" w:rsidTr="00720F36">
        <w:tc>
          <w:tcPr>
            <w:tcW w:w="2500" w:type="pct"/>
            <w:shd w:val="clear" w:color="auto" w:fill="auto"/>
          </w:tcPr>
          <w:p w:rsidR="001A73A4" w:rsidRPr="00857307" w:rsidRDefault="001A73A4" w:rsidP="000E3FE4">
            <w:pPr>
              <w:pStyle w:val="06"/>
            </w:pPr>
            <w:r w:rsidRPr="00857307">
              <w:t>3</w:t>
            </w:r>
          </w:p>
        </w:tc>
        <w:tc>
          <w:tcPr>
            <w:tcW w:w="2500" w:type="pct"/>
            <w:shd w:val="clear" w:color="auto" w:fill="auto"/>
          </w:tcPr>
          <w:p w:rsidR="001A73A4" w:rsidRPr="00857307" w:rsidRDefault="001A73A4" w:rsidP="000E3FE4">
            <w:pPr>
              <w:pStyle w:val="06"/>
            </w:pPr>
            <w:r w:rsidRPr="00857307">
              <w:t>ОАО «Сбербанк России»</w:t>
            </w:r>
          </w:p>
        </w:tc>
      </w:tr>
    </w:tbl>
    <w:p w:rsidR="001A73A4" w:rsidRPr="00857307" w:rsidRDefault="001A73A4" w:rsidP="000E3FE4">
      <w:pPr>
        <w:pStyle w:val="06"/>
      </w:pPr>
    </w:p>
    <w:p w:rsidR="001A73A4" w:rsidRPr="00857307" w:rsidRDefault="001A73A4" w:rsidP="000E3FE4">
      <w:pPr>
        <w:pStyle w:val="050"/>
        <w:rPr>
          <w:b/>
        </w:rPr>
      </w:pPr>
      <w:r w:rsidRPr="00857307">
        <w:t>По объёму клиентских операций на валютном рынке ПАО Московская Биржа по итогам 2014 года Группа компаний ОАО «Открытие Холдинг» занимает 2 место (рейтинг составлен ПАО</w:t>
      </w:r>
      <w:r w:rsidR="000E3FE4">
        <w:rPr>
          <w:lang w:val="en-US"/>
        </w:rPr>
        <w:t> </w:t>
      </w:r>
      <w:r w:rsidRPr="00857307">
        <w:t xml:space="preserve">Московская Биржа, http://moex.com/). </w:t>
      </w:r>
    </w:p>
    <w:p w:rsidR="001A73A4" w:rsidRPr="00857307" w:rsidRDefault="001A73A4" w:rsidP="000E3FE4">
      <w:pPr>
        <w:pStyle w:val="050"/>
        <w:rPr>
          <w:b/>
        </w:rPr>
      </w:pPr>
      <w:r w:rsidRPr="00857307">
        <w:t>«Ведущие операторы валютного рынка - Рейтинг участников торгов по объему клиентских операций»</w:t>
      </w: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589"/>
      </w:tblGrid>
      <w:tr w:rsidR="001A73A4" w:rsidRPr="00857307" w:rsidTr="00720F36">
        <w:tc>
          <w:tcPr>
            <w:tcW w:w="2500" w:type="pct"/>
            <w:shd w:val="clear" w:color="auto" w:fill="auto"/>
          </w:tcPr>
          <w:p w:rsidR="001A73A4" w:rsidRPr="00857307" w:rsidRDefault="001A73A4" w:rsidP="000E3FE4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7307">
              <w:rPr>
                <w:rFonts w:ascii="Arial" w:hAnsi="Arial" w:cs="Arial"/>
                <w:i/>
                <w:sz w:val="20"/>
                <w:szCs w:val="20"/>
              </w:rPr>
              <w:t>Итого за 2014 г.</w:t>
            </w:r>
          </w:p>
        </w:tc>
        <w:tc>
          <w:tcPr>
            <w:tcW w:w="2500" w:type="pct"/>
            <w:shd w:val="clear" w:color="auto" w:fill="auto"/>
          </w:tcPr>
          <w:p w:rsidR="001A73A4" w:rsidRPr="00857307" w:rsidRDefault="001A73A4" w:rsidP="000E3FE4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7307">
              <w:rPr>
                <w:rFonts w:ascii="Arial" w:hAnsi="Arial" w:cs="Arial"/>
                <w:i/>
                <w:sz w:val="20"/>
                <w:szCs w:val="20"/>
              </w:rPr>
              <w:t>Наименование компании</w:t>
            </w:r>
          </w:p>
        </w:tc>
      </w:tr>
      <w:tr w:rsidR="001A73A4" w:rsidRPr="00857307" w:rsidTr="00720F36">
        <w:tc>
          <w:tcPr>
            <w:tcW w:w="2500" w:type="pct"/>
            <w:shd w:val="clear" w:color="auto" w:fill="auto"/>
          </w:tcPr>
          <w:p w:rsidR="001A73A4" w:rsidRPr="00857307" w:rsidRDefault="001A73A4" w:rsidP="00720F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0" w:type="pct"/>
            <w:shd w:val="clear" w:color="auto" w:fill="auto"/>
          </w:tcPr>
          <w:p w:rsidR="001A73A4" w:rsidRPr="00857307" w:rsidRDefault="001A73A4" w:rsidP="00720F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ООО «Компания БКС»</w:t>
            </w:r>
          </w:p>
        </w:tc>
      </w:tr>
      <w:tr w:rsidR="001A73A4" w:rsidRPr="00857307" w:rsidTr="00720F36">
        <w:tc>
          <w:tcPr>
            <w:tcW w:w="2500" w:type="pct"/>
            <w:shd w:val="clear" w:color="auto" w:fill="auto"/>
          </w:tcPr>
          <w:p w:rsidR="001A73A4" w:rsidRPr="00857307" w:rsidRDefault="001A73A4" w:rsidP="00720F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0" w:type="pct"/>
            <w:shd w:val="clear" w:color="auto" w:fill="auto"/>
          </w:tcPr>
          <w:p w:rsidR="001A73A4" w:rsidRPr="00857307" w:rsidRDefault="001A73A4" w:rsidP="00720F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 xml:space="preserve">Группа компаний ОАО «Открытие Холдинг» </w:t>
            </w:r>
          </w:p>
        </w:tc>
      </w:tr>
      <w:tr w:rsidR="001A73A4" w:rsidRPr="00857307" w:rsidTr="00720F36">
        <w:tc>
          <w:tcPr>
            <w:tcW w:w="2500" w:type="pct"/>
            <w:shd w:val="clear" w:color="auto" w:fill="auto"/>
          </w:tcPr>
          <w:p w:rsidR="001A73A4" w:rsidRPr="00857307" w:rsidRDefault="001A73A4" w:rsidP="00720F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0" w:type="pct"/>
            <w:shd w:val="clear" w:color="auto" w:fill="auto"/>
          </w:tcPr>
          <w:p w:rsidR="001A73A4" w:rsidRPr="00857307" w:rsidRDefault="001A73A4" w:rsidP="00720F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 xml:space="preserve">«Ренессанс </w:t>
            </w:r>
            <w:proofErr w:type="spellStart"/>
            <w:r w:rsidRPr="00857307">
              <w:rPr>
                <w:rFonts w:ascii="Arial" w:hAnsi="Arial" w:cs="Arial"/>
                <w:sz w:val="20"/>
                <w:szCs w:val="20"/>
              </w:rPr>
              <w:t>Файненшл</w:t>
            </w:r>
            <w:proofErr w:type="spellEnd"/>
            <w:r w:rsidRPr="008573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307">
              <w:rPr>
                <w:rFonts w:ascii="Arial" w:hAnsi="Arial" w:cs="Arial"/>
                <w:sz w:val="20"/>
                <w:szCs w:val="20"/>
              </w:rPr>
              <w:t>Холдингс</w:t>
            </w:r>
            <w:proofErr w:type="spellEnd"/>
            <w:r w:rsidRPr="00857307">
              <w:rPr>
                <w:rFonts w:ascii="Arial" w:hAnsi="Arial" w:cs="Arial"/>
                <w:sz w:val="20"/>
                <w:szCs w:val="20"/>
              </w:rPr>
              <w:t xml:space="preserve"> Лимитед»</w:t>
            </w:r>
          </w:p>
        </w:tc>
      </w:tr>
    </w:tbl>
    <w:p w:rsidR="001A73A4" w:rsidRPr="00857307" w:rsidRDefault="001A73A4" w:rsidP="000E3FE4">
      <w:pPr>
        <w:pStyle w:val="06"/>
      </w:pPr>
    </w:p>
    <w:p w:rsidR="001A73A4" w:rsidRPr="00857307" w:rsidRDefault="001A73A4" w:rsidP="000E3FE4">
      <w:pPr>
        <w:pStyle w:val="050"/>
      </w:pPr>
      <w:r w:rsidRPr="00857307">
        <w:t xml:space="preserve">По числу зарегистрированных клиентов группа компаний ОАО «Открытие Холдинг» заняла 6 место среди участников торгов ПАО Московская Биржа по итогам 2014 г. (рейтинг составлен ПАО Московская Биржа, http://moex.com/). </w:t>
      </w:r>
    </w:p>
    <w:p w:rsidR="001A73A4" w:rsidRPr="00857307" w:rsidRDefault="001A73A4" w:rsidP="000E3FE4">
      <w:pPr>
        <w:pStyle w:val="050"/>
        <w:rPr>
          <w:b/>
        </w:rPr>
      </w:pPr>
      <w:r w:rsidRPr="00857307">
        <w:t xml:space="preserve">«Ведущие операторы фондового рынка – Число зарегистрированных клиентов» </w:t>
      </w: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589"/>
      </w:tblGrid>
      <w:tr w:rsidR="001A73A4" w:rsidRPr="000E3FE4" w:rsidTr="00720F36">
        <w:tc>
          <w:tcPr>
            <w:tcW w:w="2500" w:type="pct"/>
            <w:shd w:val="clear" w:color="auto" w:fill="auto"/>
          </w:tcPr>
          <w:p w:rsidR="001A73A4" w:rsidRPr="000E3FE4" w:rsidRDefault="001A73A4" w:rsidP="000E3FE4">
            <w:pPr>
              <w:pStyle w:val="06"/>
              <w:jc w:val="center"/>
              <w:rPr>
                <w:i/>
              </w:rPr>
            </w:pPr>
            <w:r w:rsidRPr="000E3FE4">
              <w:rPr>
                <w:i/>
              </w:rPr>
              <w:t>Итого на 31.12.2014 г.</w:t>
            </w:r>
          </w:p>
        </w:tc>
        <w:tc>
          <w:tcPr>
            <w:tcW w:w="2500" w:type="pct"/>
            <w:shd w:val="clear" w:color="auto" w:fill="auto"/>
          </w:tcPr>
          <w:p w:rsidR="001A73A4" w:rsidRPr="000E3FE4" w:rsidRDefault="001A73A4" w:rsidP="000E3FE4">
            <w:pPr>
              <w:pStyle w:val="06"/>
              <w:jc w:val="center"/>
              <w:rPr>
                <w:i/>
              </w:rPr>
            </w:pPr>
            <w:r w:rsidRPr="000E3FE4">
              <w:rPr>
                <w:i/>
              </w:rPr>
              <w:t>Наименование компании</w:t>
            </w:r>
          </w:p>
        </w:tc>
      </w:tr>
      <w:tr w:rsidR="001A73A4" w:rsidRPr="00857307" w:rsidTr="00720F36">
        <w:tc>
          <w:tcPr>
            <w:tcW w:w="2500" w:type="pct"/>
            <w:shd w:val="clear" w:color="auto" w:fill="auto"/>
          </w:tcPr>
          <w:p w:rsidR="001A73A4" w:rsidRPr="00857307" w:rsidRDefault="000D1E7E" w:rsidP="000E3FE4">
            <w:pPr>
              <w:pStyle w:val="06"/>
            </w:pPr>
            <w:r>
              <w:t>5</w:t>
            </w:r>
          </w:p>
        </w:tc>
        <w:tc>
          <w:tcPr>
            <w:tcW w:w="2500" w:type="pct"/>
            <w:shd w:val="clear" w:color="auto" w:fill="auto"/>
          </w:tcPr>
          <w:p w:rsidR="001A73A4" w:rsidRPr="00857307" w:rsidRDefault="001A73A4" w:rsidP="000E3FE4">
            <w:pPr>
              <w:pStyle w:val="06"/>
              <w:rPr>
                <w:rFonts w:eastAsia="Calibri"/>
              </w:rPr>
            </w:pPr>
            <w:r w:rsidRPr="00857307">
              <w:rPr>
                <w:rFonts w:eastAsia="Calibri"/>
              </w:rPr>
              <w:t xml:space="preserve">АО «АЛЬФА-БАНК» </w:t>
            </w:r>
          </w:p>
        </w:tc>
      </w:tr>
      <w:tr w:rsidR="001A73A4" w:rsidRPr="00857307" w:rsidTr="00720F36">
        <w:tc>
          <w:tcPr>
            <w:tcW w:w="2500" w:type="pct"/>
            <w:shd w:val="clear" w:color="auto" w:fill="auto"/>
          </w:tcPr>
          <w:p w:rsidR="001A73A4" w:rsidRPr="00857307" w:rsidRDefault="000D1E7E" w:rsidP="000E3FE4">
            <w:pPr>
              <w:pStyle w:val="06"/>
            </w:pPr>
            <w:r>
              <w:t>6</w:t>
            </w:r>
          </w:p>
        </w:tc>
        <w:tc>
          <w:tcPr>
            <w:tcW w:w="2500" w:type="pct"/>
            <w:shd w:val="clear" w:color="auto" w:fill="auto"/>
          </w:tcPr>
          <w:p w:rsidR="001A73A4" w:rsidRPr="00857307" w:rsidRDefault="001A73A4" w:rsidP="000E3FE4">
            <w:pPr>
              <w:pStyle w:val="06"/>
            </w:pPr>
            <w:r w:rsidRPr="00857307">
              <w:t xml:space="preserve">Группа компаний ОАО «Открытие Холдинг» </w:t>
            </w:r>
          </w:p>
        </w:tc>
      </w:tr>
      <w:tr w:rsidR="001A73A4" w:rsidRPr="00857307" w:rsidTr="00720F36">
        <w:tc>
          <w:tcPr>
            <w:tcW w:w="2500" w:type="pct"/>
            <w:shd w:val="clear" w:color="auto" w:fill="auto"/>
          </w:tcPr>
          <w:p w:rsidR="001A73A4" w:rsidRPr="00857307" w:rsidRDefault="000D1E7E" w:rsidP="000E3FE4">
            <w:pPr>
              <w:pStyle w:val="06"/>
            </w:pPr>
            <w:r>
              <w:t>7</w:t>
            </w:r>
          </w:p>
        </w:tc>
        <w:tc>
          <w:tcPr>
            <w:tcW w:w="2500" w:type="pct"/>
            <w:shd w:val="clear" w:color="auto" w:fill="auto"/>
          </w:tcPr>
          <w:p w:rsidR="001A73A4" w:rsidRPr="00857307" w:rsidRDefault="001A73A4" w:rsidP="000E3FE4">
            <w:pPr>
              <w:pStyle w:val="06"/>
              <w:rPr>
                <w:rFonts w:eastAsia="Calibri"/>
              </w:rPr>
            </w:pPr>
            <w:r w:rsidRPr="00857307">
              <w:t>ООО «АТОН»</w:t>
            </w:r>
          </w:p>
        </w:tc>
      </w:tr>
    </w:tbl>
    <w:p w:rsidR="001A73A4" w:rsidRPr="00857307" w:rsidRDefault="001A73A4" w:rsidP="000E3FE4">
      <w:pPr>
        <w:pStyle w:val="06"/>
      </w:pPr>
    </w:p>
    <w:p w:rsidR="001A73A4" w:rsidRPr="00857307" w:rsidRDefault="001A73A4" w:rsidP="000E3FE4">
      <w:pPr>
        <w:pStyle w:val="050"/>
      </w:pPr>
      <w:r w:rsidRPr="00857307">
        <w:t>По числу активных клиентов группа компаний ОАО «Открытие Холдинг» по итогам 2014 г. перешла с 7 на 6 место в рейтинге, оставив позади ближайшего конкурента АО «АЛЬФА-БАНК».</w:t>
      </w: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589"/>
      </w:tblGrid>
      <w:tr w:rsidR="001A73A4" w:rsidRPr="000E3FE4" w:rsidTr="00720F36">
        <w:tc>
          <w:tcPr>
            <w:tcW w:w="2500" w:type="pct"/>
            <w:shd w:val="clear" w:color="auto" w:fill="auto"/>
          </w:tcPr>
          <w:p w:rsidR="001A73A4" w:rsidRPr="000E3FE4" w:rsidRDefault="001A73A4" w:rsidP="000E3FE4">
            <w:pPr>
              <w:pStyle w:val="06"/>
              <w:jc w:val="center"/>
              <w:rPr>
                <w:i/>
              </w:rPr>
            </w:pPr>
            <w:r w:rsidRPr="000E3FE4">
              <w:rPr>
                <w:i/>
              </w:rPr>
              <w:t>Итого за 2014 г.</w:t>
            </w:r>
          </w:p>
        </w:tc>
        <w:tc>
          <w:tcPr>
            <w:tcW w:w="2500" w:type="pct"/>
            <w:shd w:val="clear" w:color="auto" w:fill="auto"/>
          </w:tcPr>
          <w:p w:rsidR="001A73A4" w:rsidRPr="000E3FE4" w:rsidRDefault="001A73A4" w:rsidP="000E3FE4">
            <w:pPr>
              <w:pStyle w:val="06"/>
              <w:jc w:val="center"/>
              <w:rPr>
                <w:i/>
              </w:rPr>
            </w:pPr>
            <w:r w:rsidRPr="000E3FE4">
              <w:rPr>
                <w:i/>
              </w:rPr>
              <w:t>Наименование компании</w:t>
            </w:r>
          </w:p>
        </w:tc>
      </w:tr>
      <w:tr w:rsidR="001A73A4" w:rsidRPr="00857307" w:rsidTr="00720F36">
        <w:tc>
          <w:tcPr>
            <w:tcW w:w="2500" w:type="pct"/>
            <w:shd w:val="clear" w:color="auto" w:fill="auto"/>
          </w:tcPr>
          <w:p w:rsidR="001A73A4" w:rsidRPr="00857307" w:rsidRDefault="000D1E7E" w:rsidP="000E3FE4">
            <w:pPr>
              <w:pStyle w:val="06"/>
            </w:pPr>
            <w:r>
              <w:t>5</w:t>
            </w:r>
          </w:p>
        </w:tc>
        <w:tc>
          <w:tcPr>
            <w:tcW w:w="2500" w:type="pct"/>
            <w:shd w:val="clear" w:color="auto" w:fill="auto"/>
          </w:tcPr>
          <w:p w:rsidR="001A73A4" w:rsidRPr="00857307" w:rsidRDefault="001A73A4" w:rsidP="000E3FE4">
            <w:pPr>
              <w:pStyle w:val="06"/>
            </w:pPr>
            <w:r w:rsidRPr="00857307">
              <w:t xml:space="preserve">Группа компаний ОАО Банк ВТБ </w:t>
            </w:r>
          </w:p>
        </w:tc>
      </w:tr>
      <w:tr w:rsidR="001A73A4" w:rsidRPr="00857307" w:rsidTr="00720F36">
        <w:tc>
          <w:tcPr>
            <w:tcW w:w="2500" w:type="pct"/>
            <w:shd w:val="clear" w:color="auto" w:fill="auto"/>
          </w:tcPr>
          <w:p w:rsidR="001A73A4" w:rsidRPr="00857307" w:rsidRDefault="000D1E7E" w:rsidP="000E3FE4">
            <w:pPr>
              <w:pStyle w:val="06"/>
            </w:pPr>
            <w:r>
              <w:t>6</w:t>
            </w:r>
          </w:p>
        </w:tc>
        <w:tc>
          <w:tcPr>
            <w:tcW w:w="2500" w:type="pct"/>
            <w:shd w:val="clear" w:color="auto" w:fill="auto"/>
          </w:tcPr>
          <w:p w:rsidR="001A73A4" w:rsidRPr="00857307" w:rsidRDefault="001A73A4" w:rsidP="000E3FE4">
            <w:pPr>
              <w:pStyle w:val="06"/>
            </w:pPr>
            <w:r w:rsidRPr="00857307">
              <w:t xml:space="preserve">Группа компаний ОАО «Открытие Холдинг» </w:t>
            </w:r>
          </w:p>
        </w:tc>
      </w:tr>
      <w:tr w:rsidR="001A73A4" w:rsidRPr="00857307" w:rsidTr="00720F36">
        <w:tc>
          <w:tcPr>
            <w:tcW w:w="2500" w:type="pct"/>
            <w:shd w:val="clear" w:color="auto" w:fill="auto"/>
          </w:tcPr>
          <w:p w:rsidR="001A73A4" w:rsidRPr="00857307" w:rsidRDefault="000D1E7E" w:rsidP="000E3FE4">
            <w:pPr>
              <w:pStyle w:val="06"/>
            </w:pPr>
            <w:r>
              <w:t>7</w:t>
            </w:r>
          </w:p>
        </w:tc>
        <w:tc>
          <w:tcPr>
            <w:tcW w:w="2500" w:type="pct"/>
            <w:shd w:val="clear" w:color="auto" w:fill="auto"/>
          </w:tcPr>
          <w:p w:rsidR="001A73A4" w:rsidRPr="00857307" w:rsidRDefault="001A73A4" w:rsidP="000E3FE4">
            <w:pPr>
              <w:pStyle w:val="06"/>
            </w:pPr>
            <w:r w:rsidRPr="00857307">
              <w:t xml:space="preserve">АО «АЛЬФА-БАНК» </w:t>
            </w:r>
          </w:p>
        </w:tc>
      </w:tr>
    </w:tbl>
    <w:p w:rsidR="001A73A4" w:rsidRPr="000E3FE4" w:rsidRDefault="001A73A4" w:rsidP="000E3FE4">
      <w:pPr>
        <w:pStyle w:val="0710"/>
      </w:pPr>
      <w:bookmarkStart w:id="1" w:name="_Toc423027489"/>
      <w:r w:rsidRPr="000E3FE4">
        <w:lastRenderedPageBreak/>
        <w:t>ПРИОРИТЕТНЫЕ НАПРАВЛЕНИЯ ДЕЯТЕЛЬНОСТИ ОБЩЕСТВА</w:t>
      </w:r>
      <w:bookmarkEnd w:id="1"/>
    </w:p>
    <w:p w:rsidR="001A73A4" w:rsidRPr="000E3FE4" w:rsidRDefault="001A73A4" w:rsidP="000E3FE4">
      <w:pPr>
        <w:pStyle w:val="050"/>
      </w:pPr>
      <w:r w:rsidRPr="000E3FE4">
        <w:t>Основные направления развития деятельности Общества в 2014 году:</w:t>
      </w:r>
    </w:p>
    <w:p w:rsidR="001A73A4" w:rsidRPr="00857307" w:rsidRDefault="001A73A4" w:rsidP="000E3FE4">
      <w:pPr>
        <w:pStyle w:val="08"/>
      </w:pPr>
      <w:r w:rsidRPr="00857307">
        <w:t xml:space="preserve">Укрепление лидирующих позиций на российском брокерском рынке; </w:t>
      </w:r>
    </w:p>
    <w:p w:rsidR="001A73A4" w:rsidRPr="00857307" w:rsidRDefault="001A73A4" w:rsidP="000E3FE4">
      <w:pPr>
        <w:pStyle w:val="08"/>
      </w:pPr>
      <w:r w:rsidRPr="00857307">
        <w:t>Предоставление широкого  спектра инвестиционных услуг частным, корпоративным и институциональным клиентам.</w:t>
      </w:r>
    </w:p>
    <w:p w:rsidR="001A73A4" w:rsidRPr="000E3FE4" w:rsidRDefault="001A73A4" w:rsidP="000E3FE4">
      <w:pPr>
        <w:pStyle w:val="08"/>
      </w:pPr>
      <w:r w:rsidRPr="000E3FE4">
        <w:t xml:space="preserve">Дальнейшее развитие собственной сети продаж инвестиционных услуг. </w:t>
      </w:r>
    </w:p>
    <w:p w:rsidR="001A73A4" w:rsidRPr="000E3FE4" w:rsidRDefault="001A73A4" w:rsidP="000E3FE4">
      <w:pPr>
        <w:pStyle w:val="050"/>
      </w:pPr>
      <w:r w:rsidRPr="000E3FE4">
        <w:t xml:space="preserve">Общество сохранило лидирующие позиции по приросту клиентской базы за 2014 год, увеличив темпы роста на 26,13% по сравнению со средним приростом 4,47% в TOP-10 за 2014 год. Таким образом, доля рынка по количеству зарегистрированных клиентов Группы компаний ОАО «Открытие Холдинг» увеличилась на 19,52 </w:t>
      </w:r>
      <w:proofErr w:type="spellStart"/>
      <w:r w:rsidRPr="000E3FE4">
        <w:t>п.п</w:t>
      </w:r>
      <w:proofErr w:type="spellEnd"/>
      <w:r w:rsidRPr="000E3FE4">
        <w:t xml:space="preserve">. до 5,25%. </w:t>
      </w:r>
    </w:p>
    <w:p w:rsidR="001A73A4" w:rsidRPr="000E3FE4" w:rsidRDefault="001A73A4" w:rsidP="000E3FE4">
      <w:pPr>
        <w:pStyle w:val="050"/>
      </w:pPr>
      <w:r w:rsidRPr="000E3FE4">
        <w:t xml:space="preserve">Объем клиентских операций в целом по рынку увеличился на 34,71%,а объем клиентских операций Общества увеличился на 19,79%. Количество активных клиентов на рынке увеличилось на 33,13%. </w:t>
      </w:r>
    </w:p>
    <w:p w:rsidR="001A73A4" w:rsidRPr="000E3FE4" w:rsidRDefault="001A73A4" w:rsidP="000E3FE4">
      <w:pPr>
        <w:pStyle w:val="050"/>
      </w:pPr>
      <w:proofErr w:type="gramStart"/>
      <w:r w:rsidRPr="000E3FE4">
        <w:rPr>
          <w:b/>
        </w:rPr>
        <w:t>В итоге Обществу удалось по объему клиентских операций переместиться с 3 места в 2013 году на 1 место в 2014 году</w:t>
      </w:r>
      <w:r w:rsidRPr="000E3FE4">
        <w:t xml:space="preserve">, по количеству активных клиентов переместиться с 6 места на 5 место в 2014 году, по количеству зарегистрированных клиентов выйти вперёд и занять 6 место, преодолев разрыв в 3326 человек (разрыв сокращен в 2,6 раза). </w:t>
      </w:r>
      <w:proofErr w:type="gramEnd"/>
    </w:p>
    <w:p w:rsidR="001A73A4" w:rsidRPr="000E3FE4" w:rsidRDefault="001A73A4" w:rsidP="000E3FE4">
      <w:pPr>
        <w:pStyle w:val="050"/>
        <w:rPr>
          <w:b/>
        </w:rPr>
      </w:pPr>
      <w:r w:rsidRPr="000E3FE4">
        <w:rPr>
          <w:b/>
        </w:rPr>
        <w:t>Основными факторами роста стали:</w:t>
      </w:r>
    </w:p>
    <w:p w:rsidR="001A73A4" w:rsidRPr="00857307" w:rsidRDefault="001A73A4" w:rsidP="000E3FE4">
      <w:pPr>
        <w:pStyle w:val="08"/>
      </w:pPr>
      <w:r w:rsidRPr="00857307">
        <w:t xml:space="preserve">Рост продаж за счет расширения региональной сети на базе офисов «Открытие Премиум»,  а также за счет </w:t>
      </w:r>
      <w:proofErr w:type="gramStart"/>
      <w:r w:rsidRPr="00857307">
        <w:t>кросс-продаж</w:t>
      </w:r>
      <w:proofErr w:type="gramEnd"/>
      <w:r w:rsidRPr="00857307">
        <w:t xml:space="preserve"> действующим  клиентам всех банков, входящих в Группу компаний ОАО «Открытие Холдинг»;</w:t>
      </w:r>
    </w:p>
    <w:p w:rsidR="001A73A4" w:rsidRPr="00857307" w:rsidRDefault="001A73A4" w:rsidP="000E3FE4">
      <w:pPr>
        <w:pStyle w:val="08"/>
      </w:pPr>
      <w:r w:rsidRPr="00857307">
        <w:t>Предоставление прямого доступа на валютный рынок ПАО Московская Биржа;</w:t>
      </w:r>
    </w:p>
    <w:p w:rsidR="001A73A4" w:rsidRPr="00857307" w:rsidRDefault="001A73A4" w:rsidP="000E3FE4">
      <w:pPr>
        <w:pStyle w:val="08"/>
      </w:pPr>
      <w:r w:rsidRPr="00857307">
        <w:t>Расширение линейки структурных продуктов;</w:t>
      </w:r>
    </w:p>
    <w:p w:rsidR="001A73A4" w:rsidRPr="00857307" w:rsidRDefault="001A73A4" w:rsidP="000E3FE4">
      <w:pPr>
        <w:pStyle w:val="08"/>
      </w:pPr>
      <w:r w:rsidRPr="00857307">
        <w:t>Обновление востребованного сервиса – торговые сигналы;</w:t>
      </w:r>
    </w:p>
    <w:p w:rsidR="001A73A4" w:rsidRPr="00857307" w:rsidRDefault="001A73A4" w:rsidP="000E3FE4">
      <w:pPr>
        <w:pStyle w:val="08"/>
      </w:pPr>
      <w:r w:rsidRPr="00857307">
        <w:t>Обучение продающих сотрудников банков, входящих в Группу ОАО «Открытие Холдинг», технологиям Общества.</w:t>
      </w:r>
    </w:p>
    <w:p w:rsidR="001A73A4" w:rsidRPr="000E3FE4" w:rsidRDefault="001A73A4" w:rsidP="000E3FE4">
      <w:pPr>
        <w:pStyle w:val="0710"/>
      </w:pPr>
      <w:bookmarkStart w:id="2" w:name="_Toc423027490"/>
      <w:r w:rsidRPr="000E3FE4">
        <w:t>ОТЧЕТ СОВЕТА ДИРЕКТОРОВ ОБЩЕСТВА О РЕЗУЛЬТАТАХ РАЗВИТИЯ ОБЩЕСТВА ПО ПРИОРИТЕТНЫМ НАПРАВЛЕНИЯМ ЕГО ДЕЯТЕЛЬНОСТИ</w:t>
      </w:r>
      <w:bookmarkEnd w:id="2"/>
    </w:p>
    <w:p w:rsidR="001A73A4" w:rsidRPr="00857307" w:rsidRDefault="001A73A4" w:rsidP="000E3FE4">
      <w:pPr>
        <w:pStyle w:val="08"/>
        <w:rPr>
          <w:b/>
        </w:rPr>
      </w:pPr>
      <w:r w:rsidRPr="00857307">
        <w:t>Регулируется Центральным Банком Российской Федерации (Банк России)</w:t>
      </w:r>
      <w:r w:rsidR="00AE498F">
        <w:t>;</w:t>
      </w:r>
    </w:p>
    <w:p w:rsidR="001A73A4" w:rsidRPr="00857307" w:rsidRDefault="001A73A4" w:rsidP="000E3FE4">
      <w:pPr>
        <w:pStyle w:val="08"/>
        <w:rPr>
          <w:b/>
        </w:rPr>
      </w:pPr>
      <w:r w:rsidRPr="00857307">
        <w:t>Успешно работает на рынке с 1997 г</w:t>
      </w:r>
      <w:r w:rsidR="00F32D6F">
        <w:t>ода</w:t>
      </w:r>
      <w:r w:rsidR="00AE498F">
        <w:t>;</w:t>
      </w:r>
    </w:p>
    <w:p w:rsidR="001A73A4" w:rsidRPr="00857307" w:rsidRDefault="001A73A4" w:rsidP="000E3FE4">
      <w:pPr>
        <w:pStyle w:val="08"/>
        <w:rPr>
          <w:b/>
        </w:rPr>
      </w:pPr>
      <w:r w:rsidRPr="00857307">
        <w:t>1 место по объему клиентских операций на фондовом рынке</w:t>
      </w:r>
      <w:r w:rsidR="00AE498F">
        <w:t>;</w:t>
      </w:r>
    </w:p>
    <w:p w:rsidR="001A73A4" w:rsidRPr="00857307" w:rsidRDefault="001A73A4" w:rsidP="000E3FE4">
      <w:pPr>
        <w:pStyle w:val="08"/>
        <w:rPr>
          <w:b/>
        </w:rPr>
      </w:pPr>
      <w:r w:rsidRPr="00857307">
        <w:t>2 место на рынке фьючерсов и опционов по объему сделок</w:t>
      </w:r>
      <w:r w:rsidR="00AE498F">
        <w:t>;</w:t>
      </w:r>
    </w:p>
    <w:p w:rsidR="001A73A4" w:rsidRPr="00857307" w:rsidRDefault="001A73A4" w:rsidP="000E3FE4">
      <w:pPr>
        <w:pStyle w:val="08"/>
        <w:rPr>
          <w:b/>
        </w:rPr>
      </w:pPr>
      <w:r w:rsidRPr="00857307">
        <w:t>2 место по объему клиентских операций на валютном рынке</w:t>
      </w:r>
      <w:r w:rsidR="00AE498F">
        <w:t>;</w:t>
      </w:r>
    </w:p>
    <w:p w:rsidR="001A73A4" w:rsidRPr="00857307" w:rsidRDefault="001A73A4" w:rsidP="000E3FE4">
      <w:pPr>
        <w:pStyle w:val="08"/>
        <w:rPr>
          <w:b/>
        </w:rPr>
      </w:pPr>
      <w:r w:rsidRPr="00857307">
        <w:t>2 место на рынке фьючерсов и опционов по объему клиентских операций</w:t>
      </w:r>
      <w:r w:rsidR="00AE498F">
        <w:t>;</w:t>
      </w:r>
    </w:p>
    <w:p w:rsidR="001A73A4" w:rsidRPr="00857307" w:rsidRDefault="001A73A4" w:rsidP="000E3FE4">
      <w:pPr>
        <w:pStyle w:val="08"/>
        <w:rPr>
          <w:b/>
        </w:rPr>
      </w:pPr>
      <w:r w:rsidRPr="00857307">
        <w:t>3 место на рынке опционов</w:t>
      </w:r>
      <w:r w:rsidR="00AE498F">
        <w:t>;</w:t>
      </w:r>
    </w:p>
    <w:p w:rsidR="001A73A4" w:rsidRPr="00857307" w:rsidRDefault="001A73A4" w:rsidP="000E3FE4">
      <w:pPr>
        <w:pStyle w:val="08"/>
        <w:rPr>
          <w:b/>
        </w:rPr>
      </w:pPr>
      <w:r w:rsidRPr="00857307">
        <w:lastRenderedPageBreak/>
        <w:t xml:space="preserve">Рейтинг надежности на уровне </w:t>
      </w:r>
      <w:r w:rsidR="00AE498F">
        <w:t>«</w:t>
      </w:r>
      <w:r w:rsidRPr="00857307">
        <w:t>ААА</w:t>
      </w:r>
      <w:r w:rsidR="00AE498F">
        <w:t>»</w:t>
      </w:r>
      <w:r w:rsidRPr="00857307">
        <w:t xml:space="preserve"> (максимальная надежность) от НРА</w:t>
      </w:r>
      <w:r w:rsidR="00AE498F">
        <w:t>;</w:t>
      </w:r>
    </w:p>
    <w:p w:rsidR="001A73A4" w:rsidRPr="00857307" w:rsidRDefault="001A73A4" w:rsidP="000E3FE4">
      <w:pPr>
        <w:pStyle w:val="08"/>
        <w:rPr>
          <w:b/>
        </w:rPr>
      </w:pPr>
      <w:r w:rsidRPr="00857307">
        <w:t>530 сотрудников (на 31.12.2014 г.)</w:t>
      </w:r>
      <w:r w:rsidR="00AE498F">
        <w:t>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9"/>
        <w:gridCol w:w="1587"/>
        <w:gridCol w:w="1587"/>
        <w:gridCol w:w="1587"/>
        <w:gridCol w:w="1589"/>
      </w:tblGrid>
      <w:tr w:rsidR="001A73A4" w:rsidRPr="00857307" w:rsidTr="000E3FE4">
        <w:trPr>
          <w:trHeight w:val="463"/>
        </w:trPr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</w:tcPr>
          <w:p w:rsidR="001A73A4" w:rsidRPr="00857307" w:rsidRDefault="001A73A4" w:rsidP="000E3FE4">
            <w:pPr>
              <w:pStyle w:val="06"/>
              <w:jc w:val="center"/>
            </w:pPr>
            <w:r w:rsidRPr="00857307">
              <w:t>Показатель (млн. руб.)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</w:tcPr>
          <w:p w:rsidR="001A73A4" w:rsidRPr="00857307" w:rsidRDefault="001A73A4" w:rsidP="000E3FE4">
            <w:pPr>
              <w:pStyle w:val="06"/>
              <w:jc w:val="center"/>
            </w:pPr>
            <w:r w:rsidRPr="00857307">
              <w:t>2011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</w:tcPr>
          <w:p w:rsidR="001A73A4" w:rsidRPr="00857307" w:rsidRDefault="001A73A4" w:rsidP="000E3FE4">
            <w:pPr>
              <w:pStyle w:val="06"/>
              <w:jc w:val="center"/>
            </w:pPr>
            <w:r w:rsidRPr="00857307">
              <w:t>2012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</w:tcPr>
          <w:p w:rsidR="001A73A4" w:rsidRPr="00857307" w:rsidRDefault="001A73A4" w:rsidP="000E3FE4">
            <w:pPr>
              <w:pStyle w:val="06"/>
              <w:jc w:val="center"/>
            </w:pPr>
            <w:r w:rsidRPr="00857307">
              <w:t>2013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73A4" w:rsidRPr="00857307" w:rsidRDefault="001A73A4" w:rsidP="000E3FE4">
            <w:pPr>
              <w:pStyle w:val="06"/>
              <w:jc w:val="center"/>
            </w:pPr>
            <w:r w:rsidRPr="00857307">
              <w:t>2014</w:t>
            </w:r>
          </w:p>
        </w:tc>
      </w:tr>
      <w:tr w:rsidR="001A73A4" w:rsidRPr="00857307" w:rsidTr="000E3FE4">
        <w:trPr>
          <w:trHeight w:val="463"/>
        </w:trPr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3A4" w:rsidRPr="00857307" w:rsidRDefault="001A73A4" w:rsidP="000E3FE4">
            <w:pPr>
              <w:pStyle w:val="06"/>
            </w:pPr>
            <w:r w:rsidRPr="00857307">
              <w:t>Торговый оборот (всего)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3A4" w:rsidRPr="00857307" w:rsidRDefault="001A73A4" w:rsidP="000E3FE4">
            <w:pPr>
              <w:pStyle w:val="06"/>
              <w:jc w:val="center"/>
            </w:pPr>
            <w:r w:rsidRPr="00857307">
              <w:t>23 572 000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3A4" w:rsidRPr="00857307" w:rsidRDefault="001A73A4" w:rsidP="000E3FE4">
            <w:pPr>
              <w:pStyle w:val="06"/>
              <w:jc w:val="center"/>
            </w:pPr>
            <w:r w:rsidRPr="00857307">
              <w:t>25 212 000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A73A4" w:rsidRPr="00857307" w:rsidRDefault="001A73A4" w:rsidP="000E3FE4">
            <w:pPr>
              <w:pStyle w:val="06"/>
              <w:jc w:val="center"/>
            </w:pPr>
            <w:r w:rsidRPr="00857307">
              <w:t>35 569 000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1A73A4" w:rsidRPr="00857307" w:rsidRDefault="001A73A4" w:rsidP="000E3FE4">
            <w:pPr>
              <w:pStyle w:val="06"/>
              <w:jc w:val="center"/>
            </w:pPr>
            <w:r w:rsidRPr="00857307">
              <w:t>52</w:t>
            </w:r>
            <w:r w:rsidR="000E3FE4">
              <w:rPr>
                <w:lang w:val="en-US"/>
              </w:rPr>
              <w:t> </w:t>
            </w:r>
            <w:r w:rsidRPr="00857307">
              <w:t>094</w:t>
            </w:r>
            <w:r w:rsidR="000E3FE4">
              <w:rPr>
                <w:lang w:val="en-US"/>
              </w:rPr>
              <w:t> </w:t>
            </w:r>
            <w:r w:rsidRPr="00857307">
              <w:t>271</w:t>
            </w:r>
          </w:p>
        </w:tc>
      </w:tr>
      <w:tr w:rsidR="001A73A4" w:rsidRPr="00857307" w:rsidTr="000E3FE4">
        <w:trPr>
          <w:trHeight w:val="463"/>
        </w:trPr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3A4" w:rsidRPr="00857307" w:rsidRDefault="001A73A4" w:rsidP="000E3FE4">
            <w:pPr>
              <w:pStyle w:val="06"/>
            </w:pPr>
            <w:r w:rsidRPr="00857307">
              <w:t>Активы клиентов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3A4" w:rsidRPr="00857307" w:rsidRDefault="001A73A4" w:rsidP="000E3FE4">
            <w:pPr>
              <w:pStyle w:val="06"/>
              <w:jc w:val="center"/>
            </w:pPr>
            <w:r w:rsidRPr="00857307">
              <w:t>175 000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3A4" w:rsidRPr="00857307" w:rsidRDefault="001A73A4" w:rsidP="000E3FE4">
            <w:pPr>
              <w:pStyle w:val="06"/>
              <w:jc w:val="center"/>
            </w:pPr>
            <w:r w:rsidRPr="00857307">
              <w:t>239 000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3A4" w:rsidRPr="00857307" w:rsidRDefault="001A73A4" w:rsidP="000E3FE4">
            <w:pPr>
              <w:pStyle w:val="06"/>
              <w:jc w:val="center"/>
            </w:pPr>
            <w:r w:rsidRPr="00857307">
              <w:t>362</w:t>
            </w:r>
            <w:r w:rsidR="00CD61B3">
              <w:t> </w:t>
            </w:r>
            <w:r w:rsidRPr="00857307">
              <w:t>000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73A4" w:rsidRPr="00857307" w:rsidRDefault="001A73A4" w:rsidP="000E3FE4">
            <w:pPr>
              <w:pStyle w:val="06"/>
              <w:jc w:val="center"/>
            </w:pPr>
            <w:r w:rsidRPr="00857307">
              <w:t>339 483</w:t>
            </w:r>
          </w:p>
        </w:tc>
      </w:tr>
    </w:tbl>
    <w:p w:rsidR="001A73A4" w:rsidRPr="00857307" w:rsidRDefault="001A73A4" w:rsidP="00DA5337">
      <w:pPr>
        <w:pStyle w:val="06"/>
      </w:pPr>
    </w:p>
    <w:p w:rsidR="001A73A4" w:rsidRPr="000E3FE4" w:rsidRDefault="001A73A4" w:rsidP="000E3FE4">
      <w:pPr>
        <w:pStyle w:val="0710"/>
      </w:pPr>
      <w:bookmarkStart w:id="3" w:name="_Toc423027491"/>
      <w:r w:rsidRPr="000E3FE4">
        <w:t>ИНФОРМАЦИЯ ОБ ОБЪЁМЕ КАЖДОГО ИЗ ИСПОЛЬЗОВАННЫХ ОБЩЕСТВОМ ВИДОВ ЭНЕРГЕТИЧЕСКИХ РЕСУРСОВ</w:t>
      </w:r>
      <w:bookmarkEnd w:id="3"/>
    </w:p>
    <w:p w:rsidR="001A73A4" w:rsidRPr="000E3FE4" w:rsidRDefault="001A73A4" w:rsidP="000E3FE4">
      <w:pPr>
        <w:pStyle w:val="050"/>
        <w:rPr>
          <w:rStyle w:val="SUBST"/>
          <w:b w:val="0"/>
          <w:i w:val="0"/>
          <w:sz w:val="20"/>
        </w:rPr>
      </w:pPr>
      <w:r w:rsidRPr="000E3FE4">
        <w:rPr>
          <w:rStyle w:val="SUBST"/>
          <w:b w:val="0"/>
          <w:i w:val="0"/>
          <w:sz w:val="20"/>
        </w:rPr>
        <w:t xml:space="preserve">Общество не систематизировало такую информацию, так как производило учёт и оплату каждого из использованных энергетических ресурсов в составе платежей за аренду помещений. Однако Общество уделяет значительное внимание вопросам </w:t>
      </w:r>
      <w:proofErr w:type="spellStart"/>
      <w:r w:rsidRPr="000E3FE4">
        <w:rPr>
          <w:rStyle w:val="SUBST"/>
          <w:b w:val="0"/>
          <w:i w:val="0"/>
          <w:sz w:val="20"/>
        </w:rPr>
        <w:t>энергоэффективности</w:t>
      </w:r>
      <w:proofErr w:type="spellEnd"/>
      <w:r w:rsidRPr="000E3FE4">
        <w:rPr>
          <w:rStyle w:val="SUBST"/>
          <w:b w:val="0"/>
          <w:i w:val="0"/>
          <w:sz w:val="20"/>
        </w:rPr>
        <w:t>, в частности, используя достижения технического прогресса и эффективно замещая устаревшие основные фонды.</w:t>
      </w:r>
    </w:p>
    <w:p w:rsidR="001A73A4" w:rsidRPr="000E3FE4" w:rsidRDefault="001A73A4" w:rsidP="000E3FE4">
      <w:pPr>
        <w:pStyle w:val="0710"/>
        <w:rPr>
          <w:rStyle w:val="SUBST"/>
          <w:b/>
          <w:i w:val="0"/>
          <w:sz w:val="20"/>
        </w:rPr>
      </w:pPr>
      <w:bookmarkStart w:id="4" w:name="_Toc423027492"/>
      <w:r w:rsidRPr="000E3FE4">
        <w:rPr>
          <w:rStyle w:val="SUBST"/>
          <w:b/>
          <w:i w:val="0"/>
          <w:sz w:val="20"/>
        </w:rPr>
        <w:t>ПЕРСПЕКТИВЫ РАЗВИТИЯ ОБЩЕСТВА</w:t>
      </w:r>
      <w:bookmarkEnd w:id="4"/>
    </w:p>
    <w:p w:rsidR="001A73A4" w:rsidRPr="000E3FE4" w:rsidRDefault="001A73A4" w:rsidP="000E3FE4">
      <w:pPr>
        <w:pStyle w:val="050"/>
      </w:pPr>
      <w:r w:rsidRPr="000E3FE4">
        <w:t>Основным драйвером роста для Общества в 2015 году будет запуск новых востребованных продуктов и предоставление доступа к новым рынкам и режимам торгов:</w:t>
      </w:r>
    </w:p>
    <w:p w:rsidR="001A73A4" w:rsidRPr="000E3FE4" w:rsidRDefault="001A73A4" w:rsidP="000E3FE4">
      <w:pPr>
        <w:pStyle w:val="08"/>
      </w:pPr>
      <w:r w:rsidRPr="000E3FE4">
        <w:t>доступ (в сотрудничестве с ОАО «Санкт-Петербургская биржа») на американский рынок для клиентов, не обладающих статусом «Квалифицированный инвестор»</w:t>
      </w:r>
      <w:r w:rsidR="00CD61B3" w:rsidRPr="000E3FE4">
        <w:t>;</w:t>
      </w:r>
      <w:r w:rsidRPr="000E3FE4">
        <w:t xml:space="preserve"> </w:t>
      </w:r>
    </w:p>
    <w:p w:rsidR="001A73A4" w:rsidRPr="000E3FE4" w:rsidRDefault="001A73A4" w:rsidP="000E3FE4">
      <w:pPr>
        <w:pStyle w:val="08"/>
      </w:pPr>
      <w:r w:rsidRPr="000E3FE4">
        <w:t>единый брокерский счет. Обеспечение доступа клиентам на фондовую и срочную секции ПАО Московская Биржа по технологии «единый брокерский счет»</w:t>
      </w:r>
      <w:r w:rsidR="00CD61B3" w:rsidRPr="000E3FE4">
        <w:t>;</w:t>
      </w:r>
    </w:p>
    <w:p w:rsidR="001A73A4" w:rsidRPr="000E3FE4" w:rsidRDefault="001A73A4" w:rsidP="000E3FE4">
      <w:pPr>
        <w:pStyle w:val="08"/>
      </w:pPr>
      <w:r w:rsidRPr="000E3FE4">
        <w:t>внедрение и дальнейшее развитие инновационной системы индивидуальных инвестиционных счетов (ИИС), привлечение клиентов в услугу, разработка инвестиционных решений под ИИС</w:t>
      </w:r>
      <w:r w:rsidR="00CD61B3" w:rsidRPr="000E3FE4">
        <w:t>;</w:t>
      </w:r>
    </w:p>
    <w:p w:rsidR="001A73A4" w:rsidRPr="000E3FE4" w:rsidRDefault="001A73A4" w:rsidP="000E3FE4">
      <w:pPr>
        <w:pStyle w:val="08"/>
      </w:pPr>
      <w:r w:rsidRPr="000E3FE4">
        <w:t>дальнейшее развитие услуг прямого доступа на валютный рынок ПАО Московская Биржа.</w:t>
      </w:r>
    </w:p>
    <w:p w:rsidR="001A73A4" w:rsidRPr="000E3FE4" w:rsidRDefault="001A73A4" w:rsidP="000E3FE4">
      <w:pPr>
        <w:pStyle w:val="050"/>
      </w:pPr>
      <w:r w:rsidRPr="000E3FE4">
        <w:t>Увеличить объемы продаж планируется также за счет расширения географии присутствия брокерского  бизнеса</w:t>
      </w:r>
      <w:r w:rsidR="00CD61B3" w:rsidRPr="000E3FE4">
        <w:t>.</w:t>
      </w:r>
    </w:p>
    <w:p w:rsidR="001A73A4" w:rsidRPr="000E3FE4" w:rsidRDefault="001A73A4" w:rsidP="000E3FE4">
      <w:pPr>
        <w:pStyle w:val="050"/>
      </w:pPr>
      <w:r w:rsidRPr="000E3FE4">
        <w:t>Другие важные направления работы Общества на 2015 год:</w:t>
      </w:r>
    </w:p>
    <w:p w:rsidR="001A73A4" w:rsidRPr="00857307" w:rsidRDefault="001A73A4" w:rsidP="000E3FE4">
      <w:pPr>
        <w:pStyle w:val="08"/>
      </w:pPr>
      <w:r w:rsidRPr="00857307">
        <w:t xml:space="preserve">Дальнейшее развитие портала </w:t>
      </w:r>
      <w:proofErr w:type="spellStart"/>
      <w:r w:rsidRPr="00857307">
        <w:t>online</w:t>
      </w:r>
      <w:proofErr w:type="spellEnd"/>
      <w:r w:rsidR="00CD61B3">
        <w:t>–</w:t>
      </w:r>
      <w:r w:rsidRPr="00857307">
        <w:t xml:space="preserve">обучения </w:t>
      </w:r>
      <w:proofErr w:type="spellStart"/>
      <w:r w:rsidRPr="00857307">
        <w:t>трейдингу</w:t>
      </w:r>
      <w:proofErr w:type="spellEnd"/>
      <w:r w:rsidRPr="00857307">
        <w:t>, разработка и запуск дистанционных курсов обучения инвестированию на финансовых рынках;</w:t>
      </w:r>
    </w:p>
    <w:p w:rsidR="001A73A4" w:rsidRPr="00857307" w:rsidRDefault="001A73A4" w:rsidP="000E3FE4">
      <w:pPr>
        <w:pStyle w:val="08"/>
      </w:pPr>
      <w:r w:rsidRPr="00857307">
        <w:t>Повышение операционной эффективности за счет развития каналов самообслуживания;</w:t>
      </w:r>
    </w:p>
    <w:p w:rsidR="001A73A4" w:rsidRPr="00857307" w:rsidRDefault="001A73A4" w:rsidP="000E3FE4">
      <w:pPr>
        <w:pStyle w:val="08"/>
      </w:pPr>
      <w:r w:rsidRPr="00857307">
        <w:t>Модернизация и развитие ведущих клиентских сервисов компании;</w:t>
      </w:r>
    </w:p>
    <w:p w:rsidR="001A73A4" w:rsidRPr="00857307" w:rsidRDefault="001A73A4" w:rsidP="000E3FE4">
      <w:pPr>
        <w:pStyle w:val="08"/>
      </w:pPr>
      <w:r w:rsidRPr="00857307">
        <w:t xml:space="preserve">Усиление позиций в области </w:t>
      </w:r>
      <w:proofErr w:type="gramStart"/>
      <w:r w:rsidRPr="00857307">
        <w:t>интернет-маркетинга</w:t>
      </w:r>
      <w:proofErr w:type="gramEnd"/>
      <w:r w:rsidRPr="00857307">
        <w:t xml:space="preserve">, автоматизация корпоративных </w:t>
      </w:r>
      <w:r w:rsidRPr="00857307">
        <w:rPr>
          <w:lang w:val="en-US"/>
        </w:rPr>
        <w:t>web</w:t>
      </w:r>
      <w:r w:rsidRPr="00857307">
        <w:t>-ресурсов;</w:t>
      </w:r>
    </w:p>
    <w:p w:rsidR="001A73A4" w:rsidRPr="00857307" w:rsidRDefault="001A73A4" w:rsidP="000E3FE4">
      <w:pPr>
        <w:pStyle w:val="08"/>
      </w:pPr>
      <w:r w:rsidRPr="00857307">
        <w:t>Снижение клиентских издержек при работе на иностранных площадках;</w:t>
      </w:r>
    </w:p>
    <w:p w:rsidR="001A73A4" w:rsidRPr="00857307" w:rsidRDefault="001A73A4" w:rsidP="000E3FE4">
      <w:pPr>
        <w:pStyle w:val="08"/>
      </w:pPr>
      <w:r w:rsidRPr="00857307">
        <w:lastRenderedPageBreak/>
        <w:t>Расширение клиентской базы (оптимизация издержек для привлечения новых клиентов), инициирование и реализация программ по развитию клиентской базы;</w:t>
      </w:r>
    </w:p>
    <w:p w:rsidR="001A73A4" w:rsidRPr="00857307" w:rsidRDefault="001A73A4" w:rsidP="000E3FE4">
      <w:pPr>
        <w:pStyle w:val="08"/>
      </w:pPr>
      <w:r w:rsidRPr="00857307">
        <w:t>Разработка и внедрение новых инвестиционных продуктов, оптимизация сервисов, поддерживающих запущенные финансовые решения;</w:t>
      </w:r>
    </w:p>
    <w:p w:rsidR="001A73A4" w:rsidRPr="00857307" w:rsidRDefault="001A73A4" w:rsidP="000E3FE4">
      <w:pPr>
        <w:pStyle w:val="08"/>
      </w:pPr>
      <w:r w:rsidRPr="00857307">
        <w:t>Развитие партнёрской сети и расширение регионального присутствия компании;</w:t>
      </w:r>
    </w:p>
    <w:p w:rsidR="001A73A4" w:rsidRPr="00857307" w:rsidRDefault="001A73A4" w:rsidP="000E3FE4">
      <w:pPr>
        <w:pStyle w:val="08"/>
      </w:pPr>
      <w:r w:rsidRPr="00857307">
        <w:t xml:space="preserve">Разработка и внедрение программ лояльности, системы управления клиентскими «впечатлениями»; </w:t>
      </w:r>
    </w:p>
    <w:p w:rsidR="001A73A4" w:rsidRPr="00857307" w:rsidRDefault="001A73A4" w:rsidP="000E3FE4">
      <w:pPr>
        <w:pStyle w:val="08"/>
      </w:pPr>
      <w:r w:rsidRPr="00857307">
        <w:t>Совершенствование стандартов качества по каждому из каналов обслуживания;</w:t>
      </w:r>
    </w:p>
    <w:p w:rsidR="001A73A4" w:rsidRPr="00857307" w:rsidRDefault="001A73A4" w:rsidP="000E3FE4">
      <w:pPr>
        <w:pStyle w:val="08"/>
      </w:pPr>
      <w:r w:rsidRPr="00857307">
        <w:t xml:space="preserve">Увеличение узнаваемости бренда среди потенциальных инвесторов, темпов роста </w:t>
      </w:r>
      <w:r w:rsidRPr="00857307">
        <w:rPr>
          <w:lang w:val="en-US"/>
        </w:rPr>
        <w:t>PR</w:t>
      </w:r>
      <w:r w:rsidRPr="00857307">
        <w:t xml:space="preserve"> и медиа-активности. </w:t>
      </w:r>
    </w:p>
    <w:p w:rsidR="001A73A4" w:rsidRPr="000E3FE4" w:rsidRDefault="001A73A4" w:rsidP="000E3FE4">
      <w:pPr>
        <w:pStyle w:val="0710"/>
      </w:pPr>
      <w:bookmarkStart w:id="5" w:name="_Toc423027493"/>
      <w:r w:rsidRPr="000E3FE4">
        <w:t>ОТЧЕТ О ВЫПЛАТЕ ОБЪЯВЛЕННЫХ (НАЧИСЛЕННЫХ) ДИВИДЕНДОВ</w:t>
      </w:r>
      <w:bookmarkEnd w:id="5"/>
    </w:p>
    <w:p w:rsidR="001A73A4" w:rsidRPr="000E3FE4" w:rsidRDefault="001A73A4" w:rsidP="000E3FE4">
      <w:pPr>
        <w:pStyle w:val="050"/>
      </w:pPr>
      <w:r w:rsidRPr="000E3FE4">
        <w:t>В соответствии с Протоколом № 2014-06-30 от 30.06.201</w:t>
      </w:r>
      <w:r w:rsidR="00260A76">
        <w:t>4</w:t>
      </w:r>
      <w:r w:rsidRPr="000E3FE4">
        <w:t xml:space="preserve"> годового Общего собрания акционеров Общества принято решение распределить чистую прибыль Общества в размере</w:t>
      </w:r>
      <w:r w:rsidR="00260A76">
        <w:t xml:space="preserve"> 226 170 000</w:t>
      </w:r>
      <w:r w:rsidRPr="000E3FE4">
        <w:t>. Выплата дивидендов произведена 31.07.2014.</w:t>
      </w:r>
    </w:p>
    <w:p w:rsidR="001A73A4" w:rsidRPr="000E3FE4" w:rsidRDefault="001A73A4" w:rsidP="000E3FE4">
      <w:pPr>
        <w:pStyle w:val="050"/>
      </w:pPr>
      <w:r w:rsidRPr="000E3FE4">
        <w:t>По результатам деятельности в 2014 году Обществом получена чистая прибыль в размере  128 177 544 (Сто двадцать восемь миллионов сто семьдесят семь тысяч пятьсот сорок четыре) рубля.</w:t>
      </w:r>
    </w:p>
    <w:p w:rsidR="001A73A4" w:rsidRPr="000E3FE4" w:rsidRDefault="001A73A4" w:rsidP="000E3FE4">
      <w:pPr>
        <w:pStyle w:val="050"/>
      </w:pPr>
      <w:r w:rsidRPr="000E3FE4">
        <w:t xml:space="preserve">Дивиденды по результатам 2014 финансового года не выплачивались. </w:t>
      </w:r>
    </w:p>
    <w:p w:rsidR="001A73A4" w:rsidRPr="000E3FE4" w:rsidRDefault="001A73A4" w:rsidP="000E3FE4">
      <w:pPr>
        <w:pStyle w:val="0710"/>
      </w:pPr>
      <w:bookmarkStart w:id="6" w:name="_Toc423027494"/>
      <w:r w:rsidRPr="000E3FE4">
        <w:t>ОПИСАНИЕ ОСНОВНЫХ ФАКТОРОВ РИСКА, СВЯЗАННЫХ С ДЕЯТЕЛЬНОСТЬЮ ОБЩЕСТВА</w:t>
      </w:r>
      <w:bookmarkEnd w:id="6"/>
    </w:p>
    <w:p w:rsidR="001A73A4" w:rsidRPr="00857307" w:rsidRDefault="001A73A4" w:rsidP="000E3FE4">
      <w:pPr>
        <w:pStyle w:val="050"/>
        <w:rPr>
          <w:rStyle w:val="SUBST"/>
          <w:b w:val="0"/>
          <w:sz w:val="20"/>
          <w:szCs w:val="20"/>
        </w:rPr>
      </w:pPr>
      <w:r w:rsidRPr="00857307">
        <w:rPr>
          <w:rStyle w:val="SUBST"/>
          <w:sz w:val="20"/>
          <w:szCs w:val="20"/>
        </w:rPr>
        <w:t>Методология управления рисками ОАО «Брокерск</w:t>
      </w:r>
      <w:r w:rsidR="00CD61B3">
        <w:rPr>
          <w:rStyle w:val="SUBST"/>
          <w:sz w:val="20"/>
          <w:szCs w:val="20"/>
        </w:rPr>
        <w:t>и</w:t>
      </w:r>
      <w:r w:rsidRPr="00857307">
        <w:rPr>
          <w:rStyle w:val="SUBST"/>
          <w:sz w:val="20"/>
          <w:szCs w:val="20"/>
        </w:rPr>
        <w:t>й дом «ОТКРЫТИЕ»</w:t>
      </w:r>
    </w:p>
    <w:p w:rsidR="001A73A4" w:rsidRPr="000E3FE4" w:rsidRDefault="001A73A4" w:rsidP="000E3FE4">
      <w:pPr>
        <w:pStyle w:val="0711"/>
      </w:pPr>
      <w:r w:rsidRPr="000E3FE4">
        <w:t> Основные положения</w:t>
      </w:r>
    </w:p>
    <w:p w:rsidR="001A73A4" w:rsidRPr="00857307" w:rsidRDefault="001A73A4" w:rsidP="007A420B">
      <w:pPr>
        <w:pStyle w:val="07111"/>
        <w:jc w:val="both"/>
      </w:pPr>
      <w:r w:rsidRPr="00857307">
        <w:t>Методология управления рисками ОАО «Брокерский дом «ОТКРЫТИЕ» (далее – Методология управления рисками Общества), утвержденная Приказом от 30.05.2014 №14.05/30.3-ОД Генерального директора Общества, является внутренним нормативным документом Общества, регламентирующим методы контроля и способы урегулирования рисков, с которыми сталкивается Общество в процессе осуществления своей деятельности.</w:t>
      </w:r>
    </w:p>
    <w:p w:rsidR="001A73A4" w:rsidRPr="00857307" w:rsidRDefault="001A73A4" w:rsidP="007A420B">
      <w:pPr>
        <w:pStyle w:val="07111"/>
        <w:jc w:val="both"/>
      </w:pPr>
      <w:r w:rsidRPr="00857307">
        <w:t>Управление рисками осуществляется на основании разработанных в Обществе внутренних документов, устанавливающих единые требования к системе мер, направленных на сведение рисков, поддающихся контролю со стороны Общества, к минимуму.</w:t>
      </w:r>
    </w:p>
    <w:p w:rsidR="001A73A4" w:rsidRPr="00857307" w:rsidRDefault="001A73A4" w:rsidP="007A420B">
      <w:pPr>
        <w:pStyle w:val="07111"/>
        <w:jc w:val="both"/>
      </w:pPr>
      <w:r w:rsidRPr="00857307">
        <w:t>Пересмотр действующей методологии осуществляется на ежегодной основе в срок до 1 июня.</w:t>
      </w:r>
    </w:p>
    <w:p w:rsidR="001A73A4" w:rsidRPr="00857307" w:rsidRDefault="001A73A4" w:rsidP="001A73A4">
      <w:pPr>
        <w:pStyle w:val="07111"/>
      </w:pPr>
      <w:r w:rsidRPr="00857307">
        <w:t>В случае возникновения существенных изменений в процесс</w:t>
      </w:r>
      <w:r w:rsidR="00714E57">
        <w:t>е</w:t>
      </w:r>
      <w:r w:rsidRPr="00857307">
        <w:t xml:space="preserve"> управления рисками, добавления </w:t>
      </w:r>
      <w:r w:rsidR="00714E57">
        <w:t xml:space="preserve">в </w:t>
      </w:r>
      <w:r w:rsidRPr="00857307">
        <w:t>методологию производятся во внеочередном порядке. Если же таковых изменений не было, то действующая методология остаётся актуальной.</w:t>
      </w:r>
    </w:p>
    <w:p w:rsidR="001A73A4" w:rsidRPr="000E3FE4" w:rsidRDefault="001A73A4" w:rsidP="000E3FE4">
      <w:pPr>
        <w:pStyle w:val="0711"/>
      </w:pPr>
      <w:r w:rsidRPr="000E3FE4">
        <w:t>Виды рисков и методы их контроля</w:t>
      </w:r>
    </w:p>
    <w:p w:rsidR="001A73A4" w:rsidRPr="000E3FE4" w:rsidRDefault="001A73A4" w:rsidP="000E3FE4">
      <w:pPr>
        <w:pStyle w:val="050"/>
      </w:pPr>
      <w:r w:rsidRPr="000E3FE4">
        <w:t>На деятельность Общества напрямую влияют 4 типа рисков:</w:t>
      </w:r>
    </w:p>
    <w:p w:rsidR="001A73A4" w:rsidRPr="000E3FE4" w:rsidRDefault="00714E57" w:rsidP="000E3FE4">
      <w:pPr>
        <w:pStyle w:val="08"/>
      </w:pPr>
      <w:r w:rsidRPr="000E3FE4">
        <w:lastRenderedPageBreak/>
        <w:t>р</w:t>
      </w:r>
      <w:r w:rsidR="001A73A4" w:rsidRPr="000E3FE4">
        <w:t>ыночный</w:t>
      </w:r>
      <w:r w:rsidRPr="000E3FE4">
        <w:t>;</w:t>
      </w:r>
    </w:p>
    <w:p w:rsidR="001A73A4" w:rsidRPr="000E3FE4" w:rsidRDefault="00714E57" w:rsidP="000E3FE4">
      <w:pPr>
        <w:pStyle w:val="08"/>
      </w:pPr>
      <w:r w:rsidRPr="000E3FE4">
        <w:t>к</w:t>
      </w:r>
      <w:r w:rsidR="001A73A4" w:rsidRPr="000E3FE4">
        <w:t>редитный</w:t>
      </w:r>
      <w:r w:rsidRPr="000E3FE4">
        <w:t>;</w:t>
      </w:r>
    </w:p>
    <w:p w:rsidR="001A73A4" w:rsidRPr="000E3FE4" w:rsidRDefault="001A73A4" w:rsidP="000E3FE4">
      <w:pPr>
        <w:pStyle w:val="08"/>
      </w:pPr>
      <w:r w:rsidRPr="000E3FE4">
        <w:t>риск ликвидности</w:t>
      </w:r>
      <w:r w:rsidR="00714E57" w:rsidRPr="000E3FE4">
        <w:t>;</w:t>
      </w:r>
    </w:p>
    <w:p w:rsidR="001A73A4" w:rsidRPr="000E3FE4" w:rsidRDefault="001A73A4" w:rsidP="000E3FE4">
      <w:pPr>
        <w:pStyle w:val="08"/>
      </w:pPr>
      <w:r w:rsidRPr="000E3FE4">
        <w:t>операционный</w:t>
      </w:r>
      <w:r w:rsidR="00714E57" w:rsidRPr="000E3FE4">
        <w:t xml:space="preserve">. </w:t>
      </w:r>
    </w:p>
    <w:p w:rsidR="001A73A4" w:rsidRPr="00857307" w:rsidRDefault="001A73A4" w:rsidP="001A73A4">
      <w:pPr>
        <w:pStyle w:val="07111"/>
        <w:rPr>
          <w:b/>
          <w:i/>
          <w:lang w:eastAsia="ru-RU"/>
        </w:rPr>
      </w:pPr>
      <w:r w:rsidRPr="00857307">
        <w:rPr>
          <w:b/>
          <w:i/>
          <w:lang w:eastAsia="ru-RU"/>
        </w:rPr>
        <w:t>Рыночный риск</w:t>
      </w:r>
    </w:p>
    <w:p w:rsidR="001A73A4" w:rsidRPr="000E3FE4" w:rsidRDefault="001A73A4" w:rsidP="000E3FE4">
      <w:pPr>
        <w:pStyle w:val="050"/>
      </w:pPr>
      <w:r w:rsidRPr="000E3FE4">
        <w:t>Рыночный риск - риск неблагоприятного изменения котировок финансовых активов, процентных ставок, курсов валют, включающий в себя:</w:t>
      </w:r>
    </w:p>
    <w:p w:rsidR="001A73A4" w:rsidRPr="00857307" w:rsidRDefault="001A73A4" w:rsidP="000E3FE4">
      <w:pPr>
        <w:pStyle w:val="08"/>
      </w:pPr>
      <w:r w:rsidRPr="00857307">
        <w:t xml:space="preserve">риск переоценки и финансовых потерь, возникающий в результате неблагоприятного изменения рыночной цены инструмента; </w:t>
      </w:r>
    </w:p>
    <w:p w:rsidR="001A73A4" w:rsidRPr="00857307" w:rsidRDefault="001A73A4" w:rsidP="000E3FE4">
      <w:pPr>
        <w:pStyle w:val="08"/>
      </w:pPr>
      <w:r w:rsidRPr="00857307">
        <w:t xml:space="preserve">риск финансовых потерь, возникающий в результате изменения волатильности цены инструмента; </w:t>
      </w:r>
    </w:p>
    <w:p w:rsidR="001A73A4" w:rsidRPr="00857307" w:rsidRDefault="001A73A4" w:rsidP="000E3FE4">
      <w:pPr>
        <w:pStyle w:val="08"/>
      </w:pPr>
      <w:r w:rsidRPr="00857307">
        <w:t>риск финансовых потерь, возникающий в результате изменения дивидендной политики</w:t>
      </w:r>
      <w:r w:rsidR="00714E57">
        <w:t>;</w:t>
      </w:r>
      <w:r w:rsidRPr="00857307">
        <w:t xml:space="preserve"> </w:t>
      </w:r>
    </w:p>
    <w:p w:rsidR="001A73A4" w:rsidRPr="00857307" w:rsidRDefault="001A73A4" w:rsidP="000E3FE4">
      <w:pPr>
        <w:pStyle w:val="08"/>
      </w:pPr>
      <w:r w:rsidRPr="00857307">
        <w:t>риск финансовых потерь при изменении параметров срочных контрактов</w:t>
      </w:r>
      <w:r w:rsidR="00714E57">
        <w:t>;</w:t>
      </w:r>
    </w:p>
    <w:p w:rsidR="001A73A4" w:rsidRPr="00857307" w:rsidRDefault="001A73A4" w:rsidP="000E3FE4">
      <w:pPr>
        <w:pStyle w:val="08"/>
      </w:pPr>
      <w:r w:rsidRPr="00857307">
        <w:t xml:space="preserve">риск переоценки и финансовых потерь, возникающий в результате неблагоприятного изменения валютного курса;  </w:t>
      </w:r>
    </w:p>
    <w:p w:rsidR="001A73A4" w:rsidRPr="00857307" w:rsidRDefault="001A73A4" w:rsidP="000E3FE4">
      <w:pPr>
        <w:pStyle w:val="08"/>
      </w:pPr>
      <w:r w:rsidRPr="00857307">
        <w:t>риск переоценки и финансовых потерь, возникающий в результате неблагоприятных изменений рыночных процентных ставок;</w:t>
      </w:r>
    </w:p>
    <w:p w:rsidR="001A73A4" w:rsidRPr="00857307" w:rsidRDefault="001A73A4" w:rsidP="000E3FE4">
      <w:pPr>
        <w:pStyle w:val="08"/>
      </w:pPr>
      <w:r w:rsidRPr="00857307">
        <w:t>риск переоценки, возникающий из-за разрыва в срочности активов и пассивов (при фиксированных процентных ставках).</w:t>
      </w:r>
    </w:p>
    <w:p w:rsidR="001A73A4" w:rsidRPr="000E3FE4" w:rsidRDefault="001A73A4" w:rsidP="000E3FE4">
      <w:pPr>
        <w:pStyle w:val="050"/>
      </w:pPr>
      <w:r w:rsidRPr="000E3FE4">
        <w:t xml:space="preserve">Для предотвращения данного типа рисков применяется программное обеспечение собственной, а также сторонней разработки, которое позволяет контролировать уровень достаточности средств и обеспеченности позиций клиентов на фондовом (основном) рынке ЗАО </w:t>
      </w:r>
      <w:r w:rsidR="00714E57" w:rsidRPr="000E3FE4">
        <w:t>«</w:t>
      </w:r>
      <w:r w:rsidRPr="000E3FE4">
        <w:t>Фондовая биржа ММВБ</w:t>
      </w:r>
      <w:r w:rsidR="00714E57" w:rsidRPr="000E3FE4">
        <w:t>»</w:t>
      </w:r>
      <w:r w:rsidRPr="000E3FE4">
        <w:t>, срочном и валютном рынках ПАО Московск</w:t>
      </w:r>
      <w:r w:rsidR="00714E57" w:rsidRPr="000E3FE4">
        <w:t>ая</w:t>
      </w:r>
      <w:r w:rsidRPr="000E3FE4">
        <w:t xml:space="preserve"> Бирж</w:t>
      </w:r>
      <w:r w:rsidR="00714E57" w:rsidRPr="000E3FE4">
        <w:t>а</w:t>
      </w:r>
      <w:r w:rsidRPr="000E3FE4">
        <w:t>, а также на иностранных торговых площадках.</w:t>
      </w:r>
    </w:p>
    <w:p w:rsidR="001A73A4" w:rsidRPr="000E3FE4" w:rsidRDefault="001A73A4" w:rsidP="000E3FE4">
      <w:pPr>
        <w:pStyle w:val="050"/>
      </w:pPr>
      <w:proofErr w:type="gramStart"/>
      <w:r w:rsidRPr="000E3FE4">
        <w:t>Со вступлением в силу приказа ФСФР России от 08.08.2013 № 13-71/</w:t>
      </w:r>
      <w:proofErr w:type="spellStart"/>
      <w:r w:rsidRPr="000E3FE4">
        <w:t>пз</w:t>
      </w:r>
      <w:proofErr w:type="spellEnd"/>
      <w:r w:rsidRPr="000E3FE4">
        <w:t>-н 27 марта 2014 г., а впоследствии заменившим его Указанием Банка России от 18 апреля 2014г. 3234-У (далее – «Указание Банка России № 3234-У»), при совершении необеспеченных сделок и сделок непокрытой продажи допустимость операций устанавливается</w:t>
      </w:r>
      <w:r w:rsidR="00714E57" w:rsidRPr="000E3FE4">
        <w:t>,</w:t>
      </w:r>
      <w:r w:rsidRPr="000E3FE4">
        <w:t xml:space="preserve"> исходя из значения Стоимости Портфеля клиента относительно его Начальной Маржи, а уровень закрытия – Стоимости Портфеля и Минимальной</w:t>
      </w:r>
      <w:proofErr w:type="gramEnd"/>
      <w:r w:rsidRPr="000E3FE4">
        <w:t xml:space="preserve"> Маржи.</w:t>
      </w:r>
    </w:p>
    <w:p w:rsidR="001A73A4" w:rsidRPr="000E3FE4" w:rsidRDefault="001A73A4" w:rsidP="000E3FE4">
      <w:pPr>
        <w:pStyle w:val="050"/>
      </w:pPr>
      <w:r w:rsidRPr="000E3FE4">
        <w:t>В свою очередь, данные параметры рассчитываются с учётом ставок риска, которые рассчитывает и транслирует организация, обладающая лицензией на осуществление клиринговой деятельностью. Управление рыночным риском осуществляется через коррекцию данных ставок в течение всего торгового времени. Общество, исходя из существующей методологии выбора и проставления дисконтов, описанн</w:t>
      </w:r>
      <w:r w:rsidR="00714E57" w:rsidRPr="000E3FE4">
        <w:t>ой</w:t>
      </w:r>
      <w:r w:rsidRPr="000E3FE4">
        <w:t xml:space="preserve"> в Приложении 1 Методологии управления рисками Общества, предоставляет своим клиентам конечную ставку риска, соответствующую присвоенной группе риска клиента. Все </w:t>
      </w:r>
      <w:proofErr w:type="gramStart"/>
      <w:r w:rsidRPr="000E3FE4">
        <w:t>риск-параметры</w:t>
      </w:r>
      <w:proofErr w:type="gramEnd"/>
      <w:r w:rsidRPr="000E3FE4">
        <w:t xml:space="preserve"> портфеля раскрыты в Личном Кабинете Клиента.</w:t>
      </w:r>
    </w:p>
    <w:p w:rsidR="001A73A4" w:rsidRPr="000E3FE4" w:rsidRDefault="001A73A4" w:rsidP="000E3FE4">
      <w:pPr>
        <w:pStyle w:val="050"/>
        <w:rPr>
          <w:i/>
        </w:rPr>
      </w:pPr>
      <w:r w:rsidRPr="000E3FE4">
        <w:rPr>
          <w:i/>
        </w:rPr>
        <w:t xml:space="preserve">Основной рынок ЗАО </w:t>
      </w:r>
      <w:r w:rsidR="00714E57" w:rsidRPr="000E3FE4">
        <w:rPr>
          <w:i/>
        </w:rPr>
        <w:t>«</w:t>
      </w:r>
      <w:r w:rsidRPr="000E3FE4">
        <w:rPr>
          <w:i/>
        </w:rPr>
        <w:t>Фондовая биржа ММВБ</w:t>
      </w:r>
      <w:r w:rsidR="00714E57" w:rsidRPr="000E3FE4">
        <w:rPr>
          <w:i/>
        </w:rPr>
        <w:t>»</w:t>
      </w:r>
    </w:p>
    <w:p w:rsidR="001A73A4" w:rsidRPr="000E3FE4" w:rsidRDefault="001A73A4" w:rsidP="000E3FE4">
      <w:pPr>
        <w:pStyle w:val="050"/>
      </w:pPr>
      <w:r w:rsidRPr="000E3FE4">
        <w:lastRenderedPageBreak/>
        <w:t>На российском фондовом рынке существует несколько типов инвесторов, статус которых позволяет определить возможности для осуществления торговых операций. Перечень этих типов и их возможности указаны в таблице 1.1 и 1.2 настоящего Отчета</w:t>
      </w:r>
    </w:p>
    <w:p w:rsidR="001A73A4" w:rsidRPr="00857307" w:rsidRDefault="001A73A4" w:rsidP="001A73A4">
      <w:pPr>
        <w:pStyle w:val="110"/>
      </w:pPr>
      <w:r w:rsidRPr="00857307">
        <w:t>Таблица 1.1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7102"/>
      </w:tblGrid>
      <w:tr w:rsidR="001A73A4" w:rsidRPr="00857307" w:rsidTr="00720F36">
        <w:trPr>
          <w:tblHeader/>
        </w:trPr>
        <w:tc>
          <w:tcPr>
            <w:tcW w:w="2396" w:type="dxa"/>
            <w:shd w:val="clear" w:color="auto" w:fill="auto"/>
          </w:tcPr>
          <w:p w:rsidR="001A73A4" w:rsidRPr="00857307" w:rsidRDefault="001A73A4" w:rsidP="00720F36">
            <w:pPr>
              <w:pStyle w:val="06"/>
              <w:jc w:val="center"/>
              <w:rPr>
                <w:b/>
              </w:rPr>
            </w:pPr>
            <w:r w:rsidRPr="00857307">
              <w:rPr>
                <w:b/>
              </w:rPr>
              <w:t>Тип инвестора</w:t>
            </w:r>
          </w:p>
        </w:tc>
        <w:tc>
          <w:tcPr>
            <w:tcW w:w="7102" w:type="dxa"/>
            <w:shd w:val="clear" w:color="auto" w:fill="auto"/>
          </w:tcPr>
          <w:p w:rsidR="001A73A4" w:rsidRPr="00857307" w:rsidRDefault="001A73A4" w:rsidP="00720F36">
            <w:pPr>
              <w:pStyle w:val="06"/>
              <w:jc w:val="center"/>
              <w:rPr>
                <w:b/>
              </w:rPr>
            </w:pPr>
            <w:r w:rsidRPr="00857307">
              <w:rPr>
                <w:b/>
              </w:rPr>
              <w:t>Описание</w:t>
            </w:r>
          </w:p>
        </w:tc>
      </w:tr>
      <w:tr w:rsidR="001A73A4" w:rsidRPr="00857307" w:rsidTr="00720F36">
        <w:trPr>
          <w:trHeight w:val="1118"/>
        </w:trPr>
        <w:tc>
          <w:tcPr>
            <w:tcW w:w="2396" w:type="dxa"/>
            <w:shd w:val="clear" w:color="auto" w:fill="auto"/>
          </w:tcPr>
          <w:p w:rsidR="001A73A4" w:rsidRPr="00857307" w:rsidRDefault="001A73A4" w:rsidP="00720F36">
            <w:pPr>
              <w:pStyle w:val="06"/>
            </w:pPr>
            <w:r w:rsidRPr="00857307">
              <w:t>Клиент со стандартным уровнем риска</w:t>
            </w:r>
          </w:p>
        </w:tc>
        <w:tc>
          <w:tcPr>
            <w:tcW w:w="7102" w:type="dxa"/>
            <w:shd w:val="clear" w:color="auto" w:fill="auto"/>
          </w:tcPr>
          <w:p w:rsidR="001A73A4" w:rsidRPr="00857307" w:rsidRDefault="001A73A4" w:rsidP="00720F36">
            <w:pPr>
              <w:pStyle w:val="06"/>
            </w:pPr>
            <w:r w:rsidRPr="00857307">
              <w:t>Возможность предоставления начальных ставок риска не ниже ставок</w:t>
            </w:r>
            <w:r w:rsidR="00714E57">
              <w:t>,</w:t>
            </w:r>
            <w:r w:rsidRPr="00857307">
              <w:t xml:space="preserve"> рассчитываемых по формуле</w:t>
            </w:r>
            <w:r w:rsidR="00714E57">
              <w:t>:</w:t>
            </w:r>
            <w:r w:rsidRPr="00857307">
              <w:t xml:space="preserve"> </w:t>
            </w:r>
          </w:p>
          <w:p w:rsidR="001A73A4" w:rsidRPr="00857307" w:rsidRDefault="000E3FE4" w:rsidP="00720F36">
            <w:pPr>
              <w:pStyle w:val="06"/>
            </w:pPr>
            <w:r w:rsidRPr="000E3FE4">
              <w:rPr>
                <w:position w:val="-12"/>
              </w:rPr>
              <w:object w:dxaOrig="160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65pt;height:19.6pt" o:ole="">
                  <v:imagedata r:id="rId15" o:title=""/>
                </v:shape>
                <o:OLEObject Type="Embed" ProgID="Equation.3" ShapeID="_x0000_i1025" DrawAspect="Content" ObjectID="_1497264754" r:id="rId16"/>
              </w:object>
            </w:r>
            <w:r w:rsidR="001A73A4" w:rsidRPr="00857307">
              <w:t>;</w:t>
            </w:r>
          </w:p>
          <w:p w:rsidR="001A73A4" w:rsidRPr="00857307" w:rsidRDefault="000E3FE4" w:rsidP="00720F36">
            <w:pPr>
              <w:pStyle w:val="06"/>
            </w:pPr>
            <w:r w:rsidRPr="000E3FE4">
              <w:rPr>
                <w:position w:val="-12"/>
              </w:rPr>
              <w:object w:dxaOrig="1600" w:dyaOrig="420">
                <v:shape id="_x0000_i1026" type="#_x0000_t75" style="width:80.65pt;height:19.6pt" o:ole="">
                  <v:imagedata r:id="rId17" o:title=""/>
                </v:shape>
                <o:OLEObject Type="Embed" ProgID="Equation.3" ShapeID="_x0000_i1026" DrawAspect="Content" ObjectID="_1497264755" r:id="rId18"/>
              </w:object>
            </w:r>
            <w:r w:rsidR="001A73A4" w:rsidRPr="00857307">
              <w:t xml:space="preserve">; где </w:t>
            </w:r>
          </w:p>
          <w:p w:rsidR="001A73A4" w:rsidRPr="00857307" w:rsidRDefault="000E3FE4" w:rsidP="00720F36">
            <w:pPr>
              <w:pStyle w:val="06"/>
            </w:pPr>
            <w:r w:rsidRPr="000E3FE4">
              <w:rPr>
                <w:position w:val="-12"/>
              </w:rPr>
              <w:object w:dxaOrig="340" w:dyaOrig="360">
                <v:shape id="_x0000_i1027" type="#_x0000_t75" style="width:17.3pt;height:18.45pt" o:ole="">
                  <v:imagedata r:id="rId19" o:title=""/>
                </v:shape>
                <o:OLEObject Type="Embed" ProgID="Equation.3" ShapeID="_x0000_i1027" DrawAspect="Content" ObjectID="_1497264756" r:id="rId20"/>
              </w:object>
            </w:r>
            <w:r w:rsidR="001A73A4" w:rsidRPr="00857307">
              <w:t xml:space="preserve"> – значение начальной ставки риска уменьшения стоимости i-</w:t>
            </w:r>
            <w:proofErr w:type="spellStart"/>
            <w:r w:rsidR="001A73A4" w:rsidRPr="00857307">
              <w:t>го</w:t>
            </w:r>
            <w:proofErr w:type="spellEnd"/>
            <w:r w:rsidR="001A73A4" w:rsidRPr="00857307">
              <w:t xml:space="preserve"> имущества (в долях единицы), определенное в соответствии с пунктами 16-21 Указания Банка России № 3234-У;</w:t>
            </w:r>
          </w:p>
          <w:p w:rsidR="001A73A4" w:rsidRPr="00857307" w:rsidRDefault="000E3FE4" w:rsidP="00720F36">
            <w:pPr>
              <w:pStyle w:val="06"/>
            </w:pPr>
            <w:r w:rsidRPr="000E3FE4">
              <w:rPr>
                <w:position w:val="-12"/>
              </w:rPr>
              <w:object w:dxaOrig="340" w:dyaOrig="360">
                <v:shape id="_x0000_i1028" type="#_x0000_t75" style="width:17.3pt;height:18.45pt" o:ole="">
                  <v:imagedata r:id="rId21" o:title=""/>
                </v:shape>
                <o:OLEObject Type="Embed" ProgID="Equation.3" ShapeID="_x0000_i1028" DrawAspect="Content" ObjectID="_1497264757" r:id="rId22"/>
              </w:object>
            </w:r>
            <w:r w:rsidR="001A73A4" w:rsidRPr="00857307">
              <w:t xml:space="preserve"> – значение начальной ставки риска увеличения стоимости i-</w:t>
            </w:r>
            <w:proofErr w:type="spellStart"/>
            <w:r w:rsidR="001A73A4" w:rsidRPr="00857307">
              <w:t>го</w:t>
            </w:r>
            <w:proofErr w:type="spellEnd"/>
            <w:r w:rsidR="001A73A4" w:rsidRPr="00857307">
              <w:t xml:space="preserve"> имущества (в долях единицы), определенное в соответствии с пунктами 16-21 Указания Банка России № 3234-У;</w:t>
            </w:r>
          </w:p>
          <w:p w:rsidR="001A73A4" w:rsidRPr="00857307" w:rsidRDefault="000E3FE4" w:rsidP="00720F36">
            <w:pPr>
              <w:pStyle w:val="06"/>
            </w:pPr>
            <w:r w:rsidRPr="000E3FE4">
              <w:rPr>
                <w:position w:val="-12"/>
              </w:rPr>
              <w:object w:dxaOrig="340" w:dyaOrig="360">
                <v:shape id="_x0000_i1029" type="#_x0000_t75" style="width:17.3pt;height:18.45pt" o:ole="">
                  <v:imagedata r:id="rId23" o:title=""/>
                </v:shape>
                <o:OLEObject Type="Embed" ProgID="Equation.3" ShapeID="_x0000_i1029" DrawAspect="Content" ObjectID="_1497264758" r:id="rId24"/>
              </w:object>
            </w:r>
            <w:r w:rsidR="001A73A4" w:rsidRPr="00857307">
              <w:t xml:space="preserve"> – значение начальной ставки риска увеличения стоимости;</w:t>
            </w:r>
          </w:p>
          <w:p w:rsidR="001A73A4" w:rsidRPr="00857307" w:rsidRDefault="000E3FE4" w:rsidP="00720F36">
            <w:pPr>
              <w:pStyle w:val="06"/>
            </w:pPr>
            <w:r w:rsidRPr="000E3FE4">
              <w:rPr>
                <w:position w:val="-10"/>
              </w:rPr>
              <w:object w:dxaOrig="240" w:dyaOrig="340">
                <v:shape id="_x0000_i1030" type="#_x0000_t75" style="width:11.5pt;height:17.3pt" o:ole="">
                  <v:imagedata r:id="rId25" o:title=""/>
                </v:shape>
                <o:OLEObject Type="Embed" ProgID="Equation.3" ShapeID="_x0000_i1030" DrawAspect="Content" ObjectID="_1497264759" r:id="rId26"/>
              </w:object>
            </w:r>
            <w:r w:rsidR="001A73A4" w:rsidRPr="00857307">
              <w:t xml:space="preserve"> и </w:t>
            </w:r>
            <w:r w:rsidRPr="000E3FE4">
              <w:rPr>
                <w:position w:val="-10"/>
              </w:rPr>
              <w:object w:dxaOrig="240" w:dyaOrig="340">
                <v:shape id="_x0000_i1031" type="#_x0000_t75" style="width:11.5pt;height:17.3pt" o:ole="">
                  <v:imagedata r:id="rId27" o:title=""/>
                </v:shape>
                <o:OLEObject Type="Embed" ProgID="Equation.3" ShapeID="_x0000_i1031" DrawAspect="Content" ObjectID="_1497264760" r:id="rId28"/>
              </w:object>
            </w:r>
            <w:r w:rsidR="001A73A4" w:rsidRPr="00857307">
              <w:t xml:space="preserve"> ставки клиринговой организации, применяемые клиринговой организацией, соответственно, для случая уменьшения стоимости i-</w:t>
            </w:r>
            <w:proofErr w:type="spellStart"/>
            <w:r w:rsidR="001A73A4" w:rsidRPr="00857307">
              <w:t>го</w:t>
            </w:r>
            <w:proofErr w:type="spellEnd"/>
            <w:r w:rsidR="001A73A4" w:rsidRPr="00857307">
              <w:t xml:space="preserve"> имущества (в долях единицы) и для случая увеличения стоимости i-</w:t>
            </w:r>
            <w:proofErr w:type="spellStart"/>
            <w:r w:rsidR="001A73A4" w:rsidRPr="00857307">
              <w:t>го</w:t>
            </w:r>
            <w:proofErr w:type="spellEnd"/>
            <w:r w:rsidR="001A73A4" w:rsidRPr="00857307">
              <w:t xml:space="preserve"> имущества (в долях единицы).</w:t>
            </w:r>
          </w:p>
        </w:tc>
      </w:tr>
      <w:tr w:rsidR="001A73A4" w:rsidRPr="00857307" w:rsidTr="00DA5337">
        <w:trPr>
          <w:trHeight w:val="577"/>
        </w:trPr>
        <w:tc>
          <w:tcPr>
            <w:tcW w:w="2396" w:type="dxa"/>
            <w:shd w:val="clear" w:color="auto" w:fill="auto"/>
          </w:tcPr>
          <w:p w:rsidR="001A73A4" w:rsidRPr="00857307" w:rsidRDefault="001A73A4" w:rsidP="00720F36">
            <w:pPr>
              <w:pStyle w:val="06"/>
            </w:pPr>
            <w:r w:rsidRPr="00857307">
              <w:t>Клиент с повышенным уровнем риска</w:t>
            </w:r>
          </w:p>
        </w:tc>
        <w:tc>
          <w:tcPr>
            <w:tcW w:w="7102" w:type="dxa"/>
            <w:shd w:val="clear" w:color="auto" w:fill="auto"/>
          </w:tcPr>
          <w:p w:rsidR="001A73A4" w:rsidRPr="00857307" w:rsidRDefault="001A73A4" w:rsidP="00720F36">
            <w:pPr>
              <w:pStyle w:val="06"/>
            </w:pPr>
            <w:r w:rsidRPr="00857307">
              <w:t>Возможность предоставления начальных ставок риска не ниже ставок, предоставляемых Клиринговым Центром.</w:t>
            </w:r>
          </w:p>
        </w:tc>
      </w:tr>
      <w:tr w:rsidR="001A73A4" w:rsidRPr="00857307" w:rsidTr="00DA5337">
        <w:trPr>
          <w:trHeight w:val="700"/>
        </w:trPr>
        <w:tc>
          <w:tcPr>
            <w:tcW w:w="2396" w:type="dxa"/>
            <w:shd w:val="clear" w:color="auto" w:fill="auto"/>
          </w:tcPr>
          <w:p w:rsidR="001A73A4" w:rsidRPr="00857307" w:rsidRDefault="001A73A4" w:rsidP="00720F36">
            <w:pPr>
              <w:pStyle w:val="06"/>
            </w:pPr>
            <w:r w:rsidRPr="00857307">
              <w:t>Клиент с особым уровнем риска</w:t>
            </w:r>
          </w:p>
        </w:tc>
        <w:tc>
          <w:tcPr>
            <w:tcW w:w="7102" w:type="dxa"/>
            <w:shd w:val="clear" w:color="auto" w:fill="auto"/>
          </w:tcPr>
          <w:p w:rsidR="001A73A4" w:rsidRPr="00857307" w:rsidRDefault="001A73A4" w:rsidP="00720F36">
            <w:pPr>
              <w:pStyle w:val="06"/>
            </w:pPr>
            <w:r w:rsidRPr="00857307">
              <w:t>Применимо только для юридических лиц. Возможность предоставления начальных ставок риска ниже ставок, предоставляемых Клиринговым Центром.</w:t>
            </w:r>
          </w:p>
        </w:tc>
      </w:tr>
      <w:tr w:rsidR="001A73A4" w:rsidRPr="00857307" w:rsidTr="00720F36">
        <w:trPr>
          <w:trHeight w:val="779"/>
        </w:trPr>
        <w:tc>
          <w:tcPr>
            <w:tcW w:w="2396" w:type="dxa"/>
            <w:shd w:val="clear" w:color="auto" w:fill="auto"/>
          </w:tcPr>
          <w:p w:rsidR="001A73A4" w:rsidRPr="00857307" w:rsidRDefault="001A73A4" w:rsidP="00720F36">
            <w:pPr>
              <w:pStyle w:val="06"/>
            </w:pPr>
            <w:r w:rsidRPr="00857307">
              <w:t>Квалифицированный инвестор</w:t>
            </w:r>
          </w:p>
        </w:tc>
        <w:tc>
          <w:tcPr>
            <w:tcW w:w="7102" w:type="dxa"/>
            <w:shd w:val="clear" w:color="auto" w:fill="auto"/>
          </w:tcPr>
          <w:p w:rsidR="001A73A4" w:rsidRPr="00857307" w:rsidRDefault="001A73A4" w:rsidP="00720F36">
            <w:pPr>
              <w:pStyle w:val="06"/>
            </w:pPr>
            <w:r w:rsidRPr="00857307">
              <w:t>Имеет право осуществлять торговые операции с инструментами зарубежных площадок, а также инструментами российского рынка, недоступными неквалифицированным инвесторам.</w:t>
            </w:r>
          </w:p>
        </w:tc>
      </w:tr>
    </w:tbl>
    <w:p w:rsidR="001A73A4" w:rsidRPr="00857307" w:rsidRDefault="001A73A4" w:rsidP="001A73A4">
      <w:pPr>
        <w:pStyle w:val="110"/>
      </w:pPr>
    </w:p>
    <w:p w:rsidR="001A73A4" w:rsidRPr="00857307" w:rsidRDefault="001A73A4" w:rsidP="001A73A4">
      <w:pPr>
        <w:pStyle w:val="110"/>
      </w:pPr>
      <w:r w:rsidRPr="00857307">
        <w:t>Таблица 1.2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4749"/>
      </w:tblGrid>
      <w:tr w:rsidR="001A73A4" w:rsidRPr="00857307" w:rsidTr="00DA5337">
        <w:trPr>
          <w:trHeight w:val="567"/>
        </w:trPr>
        <w:tc>
          <w:tcPr>
            <w:tcW w:w="4749" w:type="dxa"/>
            <w:shd w:val="clear" w:color="auto" w:fill="auto"/>
            <w:vAlign w:val="center"/>
          </w:tcPr>
          <w:p w:rsidR="001A73A4" w:rsidRPr="00857307" w:rsidRDefault="001A73A4" w:rsidP="00720F36">
            <w:pPr>
              <w:pStyle w:val="06"/>
              <w:jc w:val="center"/>
              <w:rPr>
                <w:b/>
              </w:rPr>
            </w:pPr>
            <w:r w:rsidRPr="00857307">
              <w:rPr>
                <w:b/>
              </w:rPr>
              <w:t>Наименование уровней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1A73A4" w:rsidRPr="00857307" w:rsidRDefault="001A73A4" w:rsidP="00720F36">
            <w:pPr>
              <w:pStyle w:val="06"/>
              <w:jc w:val="center"/>
              <w:rPr>
                <w:b/>
              </w:rPr>
            </w:pPr>
            <w:r w:rsidRPr="00857307">
              <w:rPr>
                <w:b/>
              </w:rPr>
              <w:t xml:space="preserve">Значение Уровней Достаточности Средств </w:t>
            </w:r>
            <w:r w:rsidRPr="00857307">
              <w:rPr>
                <w:b/>
              </w:rPr>
              <w:br/>
              <w:t>(в долях единицы)</w:t>
            </w:r>
          </w:p>
        </w:tc>
      </w:tr>
      <w:tr w:rsidR="001A73A4" w:rsidRPr="00857307" w:rsidTr="00DA5337">
        <w:trPr>
          <w:trHeight w:val="567"/>
        </w:trPr>
        <w:tc>
          <w:tcPr>
            <w:tcW w:w="4749" w:type="dxa"/>
            <w:shd w:val="clear" w:color="auto" w:fill="auto"/>
            <w:vAlign w:val="center"/>
          </w:tcPr>
          <w:p w:rsidR="001A73A4" w:rsidRPr="00857307" w:rsidRDefault="001A73A4" w:rsidP="00720F36">
            <w:pPr>
              <w:pStyle w:val="06"/>
            </w:pPr>
            <w:r w:rsidRPr="00857307">
              <w:t>Ограничительный уровень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1A73A4" w:rsidRPr="00857307" w:rsidRDefault="001A73A4" w:rsidP="00720F36">
            <w:pPr>
              <w:pStyle w:val="06"/>
            </w:pPr>
            <w:r w:rsidRPr="00857307">
              <w:t>1</w:t>
            </w:r>
            <w:r w:rsidRPr="00857307">
              <w:rPr>
                <w:lang w:val="en-US"/>
              </w:rPr>
              <w:t>&lt;</w:t>
            </w:r>
            <w:r w:rsidRPr="00857307">
              <w:t>=</w:t>
            </w:r>
          </w:p>
        </w:tc>
      </w:tr>
      <w:tr w:rsidR="001A73A4" w:rsidRPr="00857307" w:rsidTr="00DA5337">
        <w:trPr>
          <w:trHeight w:val="567"/>
        </w:trPr>
        <w:tc>
          <w:tcPr>
            <w:tcW w:w="4749" w:type="dxa"/>
            <w:shd w:val="clear" w:color="auto" w:fill="auto"/>
            <w:vAlign w:val="center"/>
          </w:tcPr>
          <w:p w:rsidR="001A73A4" w:rsidRPr="00857307" w:rsidRDefault="001A73A4" w:rsidP="00720F36">
            <w:pPr>
              <w:pStyle w:val="06"/>
            </w:pPr>
            <w:r w:rsidRPr="00857307">
              <w:t>Уровень достаточности сре</w:t>
            </w:r>
            <w:proofErr w:type="gramStart"/>
            <w:r w:rsidRPr="00857307">
              <w:t>дств дл</w:t>
            </w:r>
            <w:proofErr w:type="gramEnd"/>
            <w:r w:rsidRPr="00857307">
              <w:t>я направления требования о внесении денежных средств или ценных бумаг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1A73A4" w:rsidRPr="00857307" w:rsidRDefault="001A73A4" w:rsidP="00720F36">
            <w:pPr>
              <w:pStyle w:val="06"/>
            </w:pPr>
            <w:r w:rsidRPr="00857307">
              <w:t>0,5</w:t>
            </w:r>
            <w:r w:rsidRPr="00857307">
              <w:rPr>
                <w:lang w:val="en-US"/>
              </w:rPr>
              <w:t>&lt;</w:t>
            </w:r>
            <w:r w:rsidRPr="00857307">
              <w:t>=</w:t>
            </w:r>
          </w:p>
        </w:tc>
      </w:tr>
      <w:tr w:rsidR="001A73A4" w:rsidRPr="00857307" w:rsidTr="00DA5337">
        <w:trPr>
          <w:trHeight w:val="567"/>
        </w:trPr>
        <w:tc>
          <w:tcPr>
            <w:tcW w:w="4749" w:type="dxa"/>
            <w:shd w:val="clear" w:color="auto" w:fill="auto"/>
            <w:vAlign w:val="center"/>
          </w:tcPr>
          <w:p w:rsidR="001A73A4" w:rsidRPr="00857307" w:rsidRDefault="001A73A4" w:rsidP="00720F36">
            <w:pPr>
              <w:pStyle w:val="06"/>
            </w:pPr>
            <w:r w:rsidRPr="00857307">
              <w:t>Уровень принудительного закрытия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1A73A4" w:rsidRPr="00857307" w:rsidRDefault="001A73A4" w:rsidP="00720F36">
            <w:pPr>
              <w:pStyle w:val="06"/>
            </w:pPr>
            <w:r w:rsidRPr="00857307">
              <w:t>0</w:t>
            </w:r>
            <w:r w:rsidRPr="00857307">
              <w:rPr>
                <w:lang w:val="en-US"/>
              </w:rPr>
              <w:t>&lt;</w:t>
            </w:r>
          </w:p>
        </w:tc>
      </w:tr>
    </w:tbl>
    <w:p w:rsidR="001A73A4" w:rsidRPr="00857307" w:rsidRDefault="001A73A4" w:rsidP="000E3FE4">
      <w:pPr>
        <w:pStyle w:val="06"/>
        <w:rPr>
          <w:lang w:eastAsia="ru-RU"/>
        </w:rPr>
      </w:pPr>
    </w:p>
    <w:p w:rsidR="001A73A4" w:rsidRPr="000E3FE4" w:rsidRDefault="001A73A4" w:rsidP="000E3FE4">
      <w:pPr>
        <w:pStyle w:val="050"/>
      </w:pPr>
      <w:proofErr w:type="gramStart"/>
      <w:r w:rsidRPr="000E3FE4">
        <w:t xml:space="preserve">В ближайшие планы Общества входит предоставление возможности торговли еврооблигациями на фондовом рынке ЗАО </w:t>
      </w:r>
      <w:r w:rsidR="0055707A" w:rsidRPr="000E3FE4">
        <w:t>«</w:t>
      </w:r>
      <w:r w:rsidRPr="000E3FE4">
        <w:t>Фондовая биржа ММВБ</w:t>
      </w:r>
      <w:r w:rsidR="0055707A" w:rsidRPr="000E3FE4">
        <w:t>»</w:t>
      </w:r>
      <w:r w:rsidRPr="000E3FE4">
        <w:t xml:space="preserve"> за иностранную валюту через </w:t>
      </w:r>
      <w:r w:rsidR="0055707A" w:rsidRPr="000E3FE4">
        <w:t>И</w:t>
      </w:r>
      <w:r w:rsidRPr="000E3FE4">
        <w:t xml:space="preserve">ТС QUIK с полным </w:t>
      </w:r>
      <w:proofErr w:type="spellStart"/>
      <w:r w:rsidRPr="000E3FE4">
        <w:t>преддепонированием</w:t>
      </w:r>
      <w:proofErr w:type="spellEnd"/>
      <w:r w:rsidRPr="000E3FE4">
        <w:t xml:space="preserve"> активов.</w:t>
      </w:r>
      <w:proofErr w:type="gramEnd"/>
    </w:p>
    <w:p w:rsidR="001A73A4" w:rsidRPr="000E3FE4" w:rsidRDefault="001A73A4" w:rsidP="000E3FE4">
      <w:pPr>
        <w:pStyle w:val="050"/>
      </w:pPr>
      <w:r w:rsidRPr="000E3FE4">
        <w:t>В соответствии с законодательством</w:t>
      </w:r>
      <w:r w:rsidR="0055707A" w:rsidRPr="000E3FE4">
        <w:t>,</w:t>
      </w:r>
      <w:r w:rsidRPr="000E3FE4">
        <w:t xml:space="preserve"> Общество осуществляет ведение реестра клиентов с повышенным уровнем риска и квалифицированных инвесторов. Признание клиентов в отношении одного и другого типа инвестора осуществляется в порядке, установленном Указанием Банка России N3234-У и Приказом ФСФР России от 18.03.2008 N 08-12/</w:t>
      </w:r>
      <w:proofErr w:type="spellStart"/>
      <w:r w:rsidRPr="000E3FE4">
        <w:t>пз</w:t>
      </w:r>
      <w:proofErr w:type="spellEnd"/>
      <w:r w:rsidRPr="000E3FE4">
        <w:t>-н.</w:t>
      </w:r>
    </w:p>
    <w:p w:rsidR="001A73A4" w:rsidRPr="000E3FE4" w:rsidRDefault="001A73A4" w:rsidP="000E3FE4">
      <w:pPr>
        <w:pStyle w:val="050"/>
      </w:pPr>
      <w:r w:rsidRPr="000E3FE4">
        <w:lastRenderedPageBreak/>
        <w:t>Для контроля уровня маржи используется внутреннее приложение OpenStat8,</w:t>
      </w:r>
      <w:r w:rsidR="00720F36" w:rsidRPr="000E3FE4">
        <w:t xml:space="preserve"> </w:t>
      </w:r>
      <w:proofErr w:type="spellStart"/>
      <w:r w:rsidRPr="000E3FE4">
        <w:t>Haven</w:t>
      </w:r>
      <w:proofErr w:type="spellEnd"/>
      <w:r w:rsidR="00720F36" w:rsidRPr="000E3FE4">
        <w:t>,</w:t>
      </w:r>
      <w:r w:rsidRPr="000E3FE4">
        <w:t xml:space="preserve"> а для принудительного закрытия клиентских позиций приложение </w:t>
      </w:r>
      <w:proofErr w:type="spellStart"/>
      <w:r w:rsidRPr="000E3FE4">
        <w:t>Colibri</w:t>
      </w:r>
      <w:proofErr w:type="spellEnd"/>
      <w:r w:rsidRPr="000E3FE4">
        <w:t xml:space="preserve"> от компании </w:t>
      </w:r>
      <w:proofErr w:type="spellStart"/>
      <w:r w:rsidRPr="000E3FE4">
        <w:t>Arqa</w:t>
      </w:r>
      <w:proofErr w:type="spellEnd"/>
      <w:r w:rsidRPr="000E3FE4">
        <w:t xml:space="preserve"> </w:t>
      </w:r>
      <w:proofErr w:type="spellStart"/>
      <w:r w:rsidRPr="000E3FE4">
        <w:t>Technologies</w:t>
      </w:r>
      <w:proofErr w:type="spellEnd"/>
      <w:r w:rsidRPr="000E3FE4">
        <w:t xml:space="preserve"> и  Модуль Массового Закрытия (ММЗ) по срочному рынку приложения </w:t>
      </w:r>
      <w:proofErr w:type="spellStart"/>
      <w:r w:rsidRPr="000E3FE4">
        <w:t>Open_d_risk</w:t>
      </w:r>
      <w:proofErr w:type="spellEnd"/>
      <w:r w:rsidRPr="000E3FE4">
        <w:t>.</w:t>
      </w:r>
    </w:p>
    <w:p w:rsidR="001A73A4" w:rsidRPr="00857307" w:rsidRDefault="001A73A4" w:rsidP="001A73A4">
      <w:pPr>
        <w:pStyle w:val="050"/>
        <w:rPr>
          <w:i/>
        </w:rPr>
      </w:pPr>
      <w:r w:rsidRPr="00857307">
        <w:rPr>
          <w:i/>
        </w:rPr>
        <w:t>Срочный рынок ПАО Московск</w:t>
      </w:r>
      <w:r w:rsidR="0055707A">
        <w:rPr>
          <w:i/>
        </w:rPr>
        <w:t>ая</w:t>
      </w:r>
      <w:r w:rsidRPr="00857307">
        <w:rPr>
          <w:i/>
        </w:rPr>
        <w:t xml:space="preserve"> Бирж</w:t>
      </w:r>
      <w:r w:rsidR="0055707A">
        <w:rPr>
          <w:i/>
        </w:rPr>
        <w:t>а</w:t>
      </w:r>
    </w:p>
    <w:p w:rsidR="001A73A4" w:rsidRPr="00857307" w:rsidRDefault="001A73A4" w:rsidP="000E3FE4">
      <w:pPr>
        <w:pStyle w:val="050"/>
      </w:pPr>
      <w:r w:rsidRPr="00857307">
        <w:t xml:space="preserve">В соответствии с Регламентом об оказании брокерских услуг, в целях контроля рисков каждого Клиента Общество осуществляет расчет следующих показателей для каждого Портфеля Срочного Рынка </w:t>
      </w:r>
      <w:r w:rsidRPr="00857307">
        <w:rPr>
          <w:lang w:val="en-US"/>
        </w:rPr>
        <w:t>FORTS</w:t>
      </w:r>
      <w:r w:rsidRPr="00857307">
        <w:t xml:space="preserve"> Клиента:</w:t>
      </w:r>
    </w:p>
    <w:p w:rsidR="001A73A4" w:rsidRPr="00857307" w:rsidRDefault="001A73A4" w:rsidP="00DA5337">
      <w:pPr>
        <w:numPr>
          <w:ilvl w:val="0"/>
          <w:numId w:val="32"/>
        </w:numPr>
        <w:tabs>
          <w:tab w:val="left" w:pos="709"/>
        </w:tabs>
        <w:spacing w:after="284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857307">
        <w:rPr>
          <w:rFonts w:ascii="Arial" w:hAnsi="Arial" w:cs="Arial"/>
          <w:sz w:val="20"/>
          <w:szCs w:val="20"/>
        </w:rPr>
        <w:t>Стоимость Портфеля (S);</w:t>
      </w:r>
    </w:p>
    <w:p w:rsidR="001A73A4" w:rsidRPr="00857307" w:rsidRDefault="001A73A4" w:rsidP="00DA5337">
      <w:pPr>
        <w:numPr>
          <w:ilvl w:val="0"/>
          <w:numId w:val="32"/>
        </w:numPr>
        <w:tabs>
          <w:tab w:val="left" w:pos="709"/>
        </w:tabs>
        <w:spacing w:after="284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857307">
        <w:rPr>
          <w:rFonts w:ascii="Arial" w:hAnsi="Arial" w:cs="Arial"/>
          <w:sz w:val="20"/>
          <w:szCs w:val="20"/>
        </w:rPr>
        <w:t>Размер начального гарантийного обеспечения (Начальное ГО, ГО</w:t>
      </w:r>
      <w:proofErr w:type="gramStart"/>
      <w:r w:rsidRPr="00857307">
        <w:rPr>
          <w:rFonts w:ascii="Arial" w:hAnsi="Arial" w:cs="Arial"/>
          <w:sz w:val="20"/>
          <w:szCs w:val="20"/>
          <w:vertAlign w:val="subscript"/>
        </w:rPr>
        <w:t>0</w:t>
      </w:r>
      <w:proofErr w:type="gramEnd"/>
      <w:r w:rsidRPr="00857307">
        <w:rPr>
          <w:rFonts w:ascii="Arial" w:hAnsi="Arial" w:cs="Arial"/>
          <w:sz w:val="20"/>
          <w:szCs w:val="20"/>
        </w:rPr>
        <w:t>);</w:t>
      </w:r>
    </w:p>
    <w:p w:rsidR="001A73A4" w:rsidRPr="00857307" w:rsidRDefault="001A73A4" w:rsidP="00DA5337">
      <w:pPr>
        <w:numPr>
          <w:ilvl w:val="0"/>
          <w:numId w:val="32"/>
        </w:numPr>
        <w:tabs>
          <w:tab w:val="left" w:pos="709"/>
        </w:tabs>
        <w:spacing w:after="284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857307">
        <w:rPr>
          <w:rFonts w:ascii="Arial" w:hAnsi="Arial" w:cs="Arial"/>
          <w:sz w:val="20"/>
          <w:szCs w:val="20"/>
        </w:rPr>
        <w:t xml:space="preserve">Размер минимального гарантийного обеспечения (Минимальное ГО, </w:t>
      </w:r>
      <w:proofErr w:type="spellStart"/>
      <w:r w:rsidRPr="00857307">
        <w:rPr>
          <w:rFonts w:ascii="Arial" w:hAnsi="Arial" w:cs="Arial"/>
          <w:sz w:val="20"/>
          <w:szCs w:val="20"/>
        </w:rPr>
        <w:t>ГО</w:t>
      </w:r>
      <w:proofErr w:type="gramStart"/>
      <w:r w:rsidRPr="00857307">
        <w:rPr>
          <w:rFonts w:ascii="Arial" w:hAnsi="Arial" w:cs="Arial"/>
          <w:sz w:val="20"/>
          <w:szCs w:val="20"/>
          <w:vertAlign w:val="subscript"/>
        </w:rPr>
        <w:t>x</w:t>
      </w:r>
      <w:proofErr w:type="spellEnd"/>
      <w:proofErr w:type="gramEnd"/>
      <w:r w:rsidRPr="00857307">
        <w:rPr>
          <w:rFonts w:ascii="Arial" w:hAnsi="Arial" w:cs="Arial"/>
          <w:sz w:val="20"/>
          <w:szCs w:val="20"/>
        </w:rPr>
        <w:t>).</w:t>
      </w:r>
    </w:p>
    <w:p w:rsidR="001A73A4" w:rsidRPr="00857307" w:rsidRDefault="001A73A4" w:rsidP="00DA5337">
      <w:pPr>
        <w:tabs>
          <w:tab w:val="left" w:pos="993"/>
        </w:tabs>
        <w:spacing w:after="284" w:line="240" w:lineRule="auto"/>
        <w:ind w:left="284"/>
        <w:rPr>
          <w:rFonts w:ascii="Arial" w:hAnsi="Arial" w:cs="Arial"/>
          <w:sz w:val="20"/>
          <w:szCs w:val="20"/>
        </w:rPr>
      </w:pPr>
      <w:r w:rsidRPr="00857307">
        <w:rPr>
          <w:rFonts w:ascii="Arial" w:hAnsi="Arial" w:cs="Arial"/>
          <w:sz w:val="20"/>
          <w:szCs w:val="20"/>
        </w:rPr>
        <w:t xml:space="preserve">Размер минимального гарантийного обеспечения (Минимальное ГО, </w:t>
      </w:r>
      <w:proofErr w:type="spellStart"/>
      <w:r w:rsidRPr="00857307">
        <w:rPr>
          <w:rFonts w:ascii="Arial" w:hAnsi="Arial" w:cs="Arial"/>
          <w:sz w:val="20"/>
          <w:szCs w:val="20"/>
        </w:rPr>
        <w:t>ГО</w:t>
      </w:r>
      <w:proofErr w:type="gramStart"/>
      <w:r w:rsidRPr="00857307">
        <w:rPr>
          <w:rFonts w:ascii="Arial" w:hAnsi="Arial" w:cs="Arial"/>
          <w:sz w:val="20"/>
          <w:szCs w:val="20"/>
          <w:vertAlign w:val="subscript"/>
        </w:rPr>
        <w:t>x</w:t>
      </w:r>
      <w:proofErr w:type="spellEnd"/>
      <w:proofErr w:type="gramEnd"/>
      <w:r w:rsidRPr="00857307">
        <w:rPr>
          <w:rFonts w:ascii="Arial" w:hAnsi="Arial" w:cs="Arial"/>
          <w:sz w:val="20"/>
          <w:szCs w:val="20"/>
        </w:rPr>
        <w:t>) рассчитывается как:</w:t>
      </w:r>
    </w:p>
    <w:p w:rsidR="001A73A4" w:rsidRPr="00857307" w:rsidRDefault="00DA5337" w:rsidP="00DA5337">
      <w:pPr>
        <w:spacing w:after="284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A5337">
        <w:rPr>
          <w:rFonts w:ascii="Arial" w:hAnsi="Arial" w:cs="Arial"/>
          <w:position w:val="-20"/>
          <w:sz w:val="20"/>
          <w:szCs w:val="20"/>
        </w:rPr>
        <w:object w:dxaOrig="1420" w:dyaOrig="540">
          <v:shape id="_x0000_i1032" type="#_x0000_t75" style="width:60.5pt;height:23.6pt" o:ole="">
            <v:imagedata r:id="rId29" o:title=""/>
          </v:shape>
          <o:OLEObject Type="Embed" ProgID="Equation.3" ShapeID="_x0000_i1032" DrawAspect="Content" ObjectID="_1497264761" r:id="rId30"/>
        </w:object>
      </w:r>
      <w:r w:rsidR="001A73A4" w:rsidRPr="00857307">
        <w:rPr>
          <w:rFonts w:ascii="Arial" w:hAnsi="Arial" w:cs="Arial"/>
          <w:sz w:val="20"/>
          <w:szCs w:val="20"/>
        </w:rPr>
        <w:t>для Портфелей, открытые позиции по которым учитываются на общем счете учета позиций Общества, открытом в Клиринговой организации; или</w:t>
      </w:r>
    </w:p>
    <w:p w:rsidR="001A73A4" w:rsidRPr="00857307" w:rsidRDefault="00DA5337" w:rsidP="00DA5337">
      <w:pPr>
        <w:spacing w:after="284" w:line="240" w:lineRule="auto"/>
        <w:ind w:left="284"/>
        <w:rPr>
          <w:rFonts w:ascii="Arial" w:hAnsi="Arial" w:cs="Arial"/>
          <w:sz w:val="20"/>
          <w:szCs w:val="20"/>
        </w:rPr>
      </w:pPr>
      <w:r w:rsidRPr="00DA5337">
        <w:rPr>
          <w:rFonts w:ascii="Arial" w:hAnsi="Arial" w:cs="Arial"/>
          <w:position w:val="-10"/>
          <w:sz w:val="20"/>
          <w:szCs w:val="20"/>
        </w:rPr>
        <w:object w:dxaOrig="1380" w:dyaOrig="300">
          <v:shape id="_x0000_i1033" type="#_x0000_t75" style="width:68.55pt;height:14.4pt" o:ole="">
            <v:imagedata r:id="rId31" o:title=""/>
          </v:shape>
          <o:OLEObject Type="Embed" ProgID="Equation.3" ShapeID="_x0000_i1033" DrawAspect="Content" ObjectID="_1497264762" r:id="rId32"/>
        </w:object>
      </w:r>
      <w:r w:rsidR="001A73A4" w:rsidRPr="00857307">
        <w:rPr>
          <w:rFonts w:ascii="Arial" w:hAnsi="Arial" w:cs="Arial"/>
          <w:sz w:val="20"/>
          <w:szCs w:val="20"/>
        </w:rPr>
        <w:t xml:space="preserve"> для Портфелей, открытые позиции по которым учитываются на Отдельном счете учета позиций, открытом в Клиринговой организации,</w:t>
      </w:r>
    </w:p>
    <w:p w:rsidR="001A73A4" w:rsidRPr="00857307" w:rsidRDefault="001A73A4" w:rsidP="00DA5337">
      <w:pPr>
        <w:spacing w:after="284" w:line="240" w:lineRule="auto"/>
        <w:ind w:left="284"/>
        <w:rPr>
          <w:rFonts w:ascii="Arial" w:hAnsi="Arial" w:cs="Arial"/>
          <w:sz w:val="20"/>
          <w:szCs w:val="20"/>
        </w:rPr>
      </w:pPr>
      <w:r w:rsidRPr="00857307">
        <w:rPr>
          <w:rFonts w:ascii="Arial" w:hAnsi="Arial" w:cs="Arial"/>
          <w:sz w:val="20"/>
          <w:szCs w:val="20"/>
        </w:rPr>
        <w:t>где k – коэффициент, устанавливаемый Обществом и по общему правилу равный 1. Общество вправе изменить k в одностороннем порядке, уведомив об этом Клиента. Указанные изменения вступают в силу с момента, указанного в соответствующем уведомлении Общества, но не ранее дня, следующего за днем направления уведомления.</w:t>
      </w:r>
    </w:p>
    <w:p w:rsidR="001A73A4" w:rsidRPr="000E3FE4" w:rsidRDefault="001A73A4" w:rsidP="000E3FE4">
      <w:pPr>
        <w:pStyle w:val="050"/>
      </w:pPr>
      <w:r w:rsidRPr="000E3FE4">
        <w:t>При подключённой услуге «Повышенный торговый лимит» коэффициент k может быть увеличен до 2</w:t>
      </w:r>
      <w:r w:rsidR="000E3FE4" w:rsidRPr="000E3FE4">
        <w:t>-</w:t>
      </w:r>
      <w:r w:rsidRPr="000E3FE4">
        <w:t>ух.</w:t>
      </w:r>
    </w:p>
    <w:p w:rsidR="001A73A4" w:rsidRPr="000E3FE4" w:rsidRDefault="001A73A4" w:rsidP="000E3FE4">
      <w:pPr>
        <w:pStyle w:val="050"/>
      </w:pPr>
      <w:r w:rsidRPr="000E3FE4">
        <w:t>В качестве обеспечения ГО могут приниматься рубли и иностранная валюта.</w:t>
      </w:r>
    </w:p>
    <w:p w:rsidR="001A73A4" w:rsidRPr="000E3FE4" w:rsidRDefault="00720F36" w:rsidP="000E3FE4">
      <w:pPr>
        <w:pStyle w:val="050"/>
      </w:pPr>
      <w:r w:rsidRPr="000E3FE4">
        <w:t>Р</w:t>
      </w:r>
      <w:r w:rsidR="001A73A4" w:rsidRPr="000E3FE4">
        <w:t xml:space="preserve">еализует возможность </w:t>
      </w:r>
      <w:proofErr w:type="spellStart"/>
      <w:r w:rsidR="001A73A4" w:rsidRPr="000E3FE4">
        <w:t>неттинга</w:t>
      </w:r>
      <w:proofErr w:type="spellEnd"/>
      <w:r w:rsidR="001A73A4" w:rsidRPr="000E3FE4">
        <w:t xml:space="preserve"> риска между валютной и срочной секцией ПАО Московск</w:t>
      </w:r>
      <w:r w:rsidR="0055707A" w:rsidRPr="000E3FE4">
        <w:t>ая</w:t>
      </w:r>
      <w:r w:rsidR="001A73A4" w:rsidRPr="000E3FE4">
        <w:t xml:space="preserve"> бирж</w:t>
      </w:r>
      <w:r w:rsidR="0055707A" w:rsidRPr="000E3FE4">
        <w:t>а</w:t>
      </w:r>
      <w:r w:rsidR="001A73A4" w:rsidRPr="000E3FE4">
        <w:t xml:space="preserve"> через сервис «балансировка риска», который позвол</w:t>
      </w:r>
      <w:r w:rsidRPr="000E3FE4">
        <w:t>яе</w:t>
      </w:r>
      <w:r w:rsidR="001A73A4" w:rsidRPr="000E3FE4">
        <w:t xml:space="preserve">т клиентам Общества осуществлять более гибкий контроль собственных валютных рисков. Подробнее об услуге можно узнать на сайте </w:t>
      </w:r>
      <w:hyperlink r:id="rId33" w:history="1">
        <w:r w:rsidR="001A73A4" w:rsidRPr="000E3FE4">
          <w:rPr>
            <w:rStyle w:val="afd"/>
            <w:color w:val="auto"/>
          </w:rPr>
          <w:t>биржи</w:t>
        </w:r>
      </w:hyperlink>
      <w:r w:rsidR="001A73A4" w:rsidRPr="000E3FE4">
        <w:t>.</w:t>
      </w:r>
    </w:p>
    <w:p w:rsidR="001A73A4" w:rsidRPr="000E3FE4" w:rsidRDefault="001A73A4" w:rsidP="000E3FE4">
      <w:pPr>
        <w:pStyle w:val="050"/>
      </w:pPr>
      <w:r w:rsidRPr="000E3FE4">
        <w:t xml:space="preserve">Контроль уровня обеспечения клиентов осуществляется через внутреннее приложение  </w:t>
      </w:r>
      <w:proofErr w:type="spellStart"/>
      <w:r w:rsidRPr="000E3FE4">
        <w:t>Open_d_risk</w:t>
      </w:r>
      <w:proofErr w:type="spellEnd"/>
      <w:r w:rsidRPr="000E3FE4">
        <w:t xml:space="preserve">. Общество реализовало ММЗ по срочному рынку, которое позволяет оперативно закрывать большое количество клиентских </w:t>
      </w:r>
      <w:proofErr w:type="gramStart"/>
      <w:r w:rsidRPr="000E3FE4">
        <w:t>позиций</w:t>
      </w:r>
      <w:proofErr w:type="gramEnd"/>
      <w:r w:rsidRPr="000E3FE4">
        <w:t xml:space="preserve"> и ориентировано на простые стратегии (купленный или проданный фьючерс), без учёта опционов и синтетических позиций.</w:t>
      </w:r>
    </w:p>
    <w:p w:rsidR="001A73A4" w:rsidRPr="000E3FE4" w:rsidRDefault="001A73A4" w:rsidP="000E3FE4">
      <w:pPr>
        <w:pStyle w:val="050"/>
      </w:pPr>
      <w:r w:rsidRPr="000E3FE4">
        <w:t>В случае снижения Стоимости портфеля ниже Минимального ГО Общества совершает по портфелю операции, направленные на снижение значения Минимального ГО.</w:t>
      </w:r>
    </w:p>
    <w:p w:rsidR="001A73A4" w:rsidRPr="00857307" w:rsidRDefault="001A73A4" w:rsidP="001A73A4">
      <w:pPr>
        <w:pStyle w:val="050"/>
        <w:rPr>
          <w:i/>
        </w:rPr>
      </w:pPr>
      <w:r w:rsidRPr="00857307">
        <w:rPr>
          <w:i/>
        </w:rPr>
        <w:t>Валютный рынок ПАО Московск</w:t>
      </w:r>
      <w:r w:rsidR="0055707A">
        <w:rPr>
          <w:i/>
        </w:rPr>
        <w:t>ая</w:t>
      </w:r>
      <w:r w:rsidRPr="00857307">
        <w:rPr>
          <w:i/>
        </w:rPr>
        <w:t xml:space="preserve"> Бирж</w:t>
      </w:r>
      <w:r w:rsidR="0055707A">
        <w:rPr>
          <w:i/>
        </w:rPr>
        <w:t>а</w:t>
      </w:r>
    </w:p>
    <w:p w:rsidR="001A73A4" w:rsidRPr="000E3FE4" w:rsidRDefault="001A73A4" w:rsidP="000E3FE4">
      <w:pPr>
        <w:pStyle w:val="050"/>
      </w:pPr>
      <w:r w:rsidRPr="000E3FE4">
        <w:t xml:space="preserve">Валютный рынок не попадает под регулирование Указания Банка России № 3234-У. Тем не менее, правила осуществления торговых операций полностью аналогичны Основному рынку. На валютном рынке контроль соблюдения обеспеченности позиции осуществляется через внутреннее приложение </w:t>
      </w:r>
      <w:proofErr w:type="spellStart"/>
      <w:r w:rsidRPr="000E3FE4">
        <w:t>Haven</w:t>
      </w:r>
      <w:proofErr w:type="spellEnd"/>
      <w:r w:rsidRPr="000E3FE4">
        <w:t xml:space="preserve">, принудительное закрытие осуществляется через приложение </w:t>
      </w:r>
      <w:proofErr w:type="spellStart"/>
      <w:r w:rsidRPr="000E3FE4">
        <w:t>Colibri</w:t>
      </w:r>
      <w:proofErr w:type="spellEnd"/>
      <w:r w:rsidRPr="000E3FE4">
        <w:t>.</w:t>
      </w:r>
    </w:p>
    <w:p w:rsidR="001A73A4" w:rsidRPr="000E3FE4" w:rsidRDefault="001A73A4" w:rsidP="000E3FE4">
      <w:pPr>
        <w:pStyle w:val="050"/>
      </w:pPr>
      <w:proofErr w:type="gramStart"/>
      <w:r w:rsidRPr="000E3FE4">
        <w:lastRenderedPageBreak/>
        <w:t>Риск-параметры</w:t>
      </w:r>
      <w:proofErr w:type="gramEnd"/>
      <w:r w:rsidRPr="000E3FE4">
        <w:t xml:space="preserve"> устанавливаются с ориентиром на ставки рыночного риска 1</w:t>
      </w:r>
      <w:r w:rsidR="0055707A" w:rsidRPr="000E3FE4">
        <w:t>–</w:t>
      </w:r>
      <w:r w:rsidRPr="000E3FE4">
        <w:t>ого уровня на Валютном Рынке. На момент написания методологии они составляют от 11% до 20%. Общество использует ставку риска в размере 15% для USD, EUR, CNY</w:t>
      </w:r>
      <w:r w:rsidR="0055707A" w:rsidRPr="000E3FE4">
        <w:t>,</w:t>
      </w:r>
      <w:r w:rsidRPr="000E3FE4">
        <w:t xml:space="preserve"> 40% для GBP </w:t>
      </w:r>
      <w:r w:rsidR="0055707A" w:rsidRPr="000E3FE4">
        <w:t xml:space="preserve">и 100% </w:t>
      </w:r>
      <w:r w:rsidRPr="000E3FE4">
        <w:t>для HKD. Об изменениях ставки можно узнать из сообщений организатора торгов в биржевом терминале прямого доступа и на сайте организатора торгов и клиринговой организации. В случае наступления случая изменения ставки риска клиентам Общества направляется уведомление.</w:t>
      </w:r>
    </w:p>
    <w:p w:rsidR="001A73A4" w:rsidRPr="000E3FE4" w:rsidRDefault="001A73A4" w:rsidP="000E3FE4">
      <w:pPr>
        <w:pStyle w:val="050"/>
      </w:pPr>
      <w:r w:rsidRPr="000E3FE4">
        <w:t xml:space="preserve">Актуальные риск параметры валютного рынка находятся по ссылке </w:t>
      </w:r>
      <w:hyperlink r:id="rId34" w:history="1">
        <w:r w:rsidRPr="000E3FE4">
          <w:rPr>
            <w:u w:val="single"/>
          </w:rPr>
          <w:t>http://www.nkcbank.ru/viewCatalog.do?menuKey=131</w:t>
        </w:r>
      </w:hyperlink>
      <w:r w:rsidRPr="000E3FE4">
        <w:t>.</w:t>
      </w:r>
    </w:p>
    <w:p w:rsidR="001A73A4" w:rsidRPr="000E3FE4" w:rsidRDefault="001A73A4" w:rsidP="000E3FE4">
      <w:pPr>
        <w:pStyle w:val="050"/>
      </w:pPr>
      <w:r w:rsidRPr="000E3FE4">
        <w:t xml:space="preserve">В ближайшие планы Общества входит переход валютного рынка в </w:t>
      </w:r>
      <w:r w:rsidR="0055707A" w:rsidRPr="000E3FE4">
        <w:t>И</w:t>
      </w:r>
      <w:r w:rsidRPr="000E3FE4">
        <w:t>ТС QUIK по «денежной схеме», которая позволит решить некоторые проблемы, которые возникают у клиентов.</w:t>
      </w:r>
    </w:p>
    <w:p w:rsidR="001A73A4" w:rsidRPr="00857307" w:rsidRDefault="001A73A4" w:rsidP="001A73A4">
      <w:pPr>
        <w:pStyle w:val="050"/>
        <w:rPr>
          <w:i/>
          <w:lang w:eastAsia="ru-RU"/>
        </w:rPr>
      </w:pPr>
      <w:r w:rsidRPr="00857307">
        <w:rPr>
          <w:i/>
          <w:lang w:eastAsia="ru-RU"/>
        </w:rPr>
        <w:t>Иностранные торговые площадки</w:t>
      </w:r>
    </w:p>
    <w:p w:rsidR="001A73A4" w:rsidRPr="000E3FE4" w:rsidRDefault="001A73A4" w:rsidP="000E3FE4">
      <w:pPr>
        <w:pStyle w:val="050"/>
      </w:pPr>
      <w:r w:rsidRPr="000E3FE4">
        <w:t>С февраля 2015 г. Общество предоставля</w:t>
      </w:r>
      <w:r w:rsidR="00144AD7" w:rsidRPr="000E3FE4">
        <w:t>е</w:t>
      </w:r>
      <w:r w:rsidRPr="000E3FE4">
        <w:t xml:space="preserve">т возможность необеспеченных сделок покупки и непокрытых продаж на американском рынке акций в портфеле USA </w:t>
      </w:r>
      <w:proofErr w:type="spellStart"/>
      <w:r w:rsidRPr="000E3FE4">
        <w:t>Margin</w:t>
      </w:r>
      <w:proofErr w:type="spellEnd"/>
      <w:r w:rsidRPr="000E3FE4">
        <w:t xml:space="preserve"> </w:t>
      </w:r>
      <w:proofErr w:type="spellStart"/>
      <w:r w:rsidRPr="000E3FE4">
        <w:t>Trading</w:t>
      </w:r>
      <w:proofErr w:type="spellEnd"/>
      <w:r w:rsidRPr="000E3FE4">
        <w:t xml:space="preserve"> для квалифицированных инвесторов. Для лиц, не обладающих таким статусом, возможна торговля 55 акциями с листингом на ОАО «Санкт-Петербургская биржа». Торговля на других мировых площадках происходит в пределах собственных средств и ценных бумаг. По всем клиентам Стоимость Портфеля, Начальная Маржа и Минимальная Маржа рассчитываются. </w:t>
      </w:r>
    </w:p>
    <w:p w:rsidR="001A73A4" w:rsidRPr="000E3FE4" w:rsidRDefault="001A73A4" w:rsidP="000E3FE4">
      <w:pPr>
        <w:pStyle w:val="050"/>
      </w:pPr>
      <w:r w:rsidRPr="000E3FE4">
        <w:t>Мониторинг достаточности клиентских активов при обработке неторговых поручений осуществляется через приложение OpenStat8.</w:t>
      </w:r>
    </w:p>
    <w:p w:rsidR="001A73A4" w:rsidRPr="000E3FE4" w:rsidRDefault="001A73A4" w:rsidP="000E3FE4">
      <w:pPr>
        <w:pStyle w:val="050"/>
      </w:pPr>
      <w:r w:rsidRPr="000E3FE4">
        <w:t xml:space="preserve">Общество планирует реализовать возможность торговать по всем рынкам из одного портфеля через Единую Денежную Позицию (ЕДП) от </w:t>
      </w:r>
      <w:proofErr w:type="spellStart"/>
      <w:r w:rsidRPr="000E3FE4">
        <w:t>Arqa</w:t>
      </w:r>
      <w:proofErr w:type="spellEnd"/>
      <w:r w:rsidRPr="000E3FE4">
        <w:t xml:space="preserve"> </w:t>
      </w:r>
      <w:proofErr w:type="spellStart"/>
      <w:r w:rsidRPr="000E3FE4">
        <w:t>Technologies</w:t>
      </w:r>
      <w:proofErr w:type="spellEnd"/>
      <w:r w:rsidRPr="000E3FE4">
        <w:t>, а также предоставить клиентам возможность частичного кросс-</w:t>
      </w:r>
      <w:proofErr w:type="spellStart"/>
      <w:r w:rsidRPr="000E3FE4">
        <w:t>маржирования</w:t>
      </w:r>
      <w:proofErr w:type="spellEnd"/>
      <w:r w:rsidRPr="000E3FE4">
        <w:t xml:space="preserve"> активов, входящих в ЕДП.</w:t>
      </w:r>
    </w:p>
    <w:p w:rsidR="001A73A4" w:rsidRPr="00857307" w:rsidRDefault="001A73A4" w:rsidP="001A73A4">
      <w:pPr>
        <w:pStyle w:val="07111"/>
        <w:rPr>
          <w:b/>
          <w:i/>
        </w:rPr>
      </w:pPr>
      <w:r w:rsidRPr="00857307">
        <w:rPr>
          <w:b/>
          <w:i/>
        </w:rPr>
        <w:t>Кредитный риск</w:t>
      </w:r>
    </w:p>
    <w:p w:rsidR="001A73A4" w:rsidRPr="000E3FE4" w:rsidRDefault="001A73A4" w:rsidP="000E3FE4">
      <w:pPr>
        <w:pStyle w:val="050"/>
      </w:pPr>
      <w:r w:rsidRPr="000E3FE4">
        <w:t xml:space="preserve">Кредитный риск – риск частичного или полного неисполнения контрагентом или эмитентом своих обязательств, </w:t>
      </w:r>
      <w:r w:rsidR="0055707A" w:rsidRPr="000E3FE4">
        <w:t xml:space="preserve">который </w:t>
      </w:r>
      <w:r w:rsidRPr="000E3FE4">
        <w:t>содерж</w:t>
      </w:r>
      <w:r w:rsidR="0055707A" w:rsidRPr="000E3FE4">
        <w:t>и</w:t>
      </w:r>
      <w:r w:rsidRPr="000E3FE4">
        <w:t xml:space="preserve">т: </w:t>
      </w:r>
    </w:p>
    <w:p w:rsidR="001A73A4" w:rsidRPr="00857307" w:rsidRDefault="001A73A4" w:rsidP="000E3FE4">
      <w:pPr>
        <w:pStyle w:val="08"/>
      </w:pPr>
      <w:r w:rsidRPr="00857307">
        <w:t>риски невыполнения обязатель</w:t>
      </w:r>
      <w:proofErr w:type="gramStart"/>
      <w:r w:rsidRPr="00857307">
        <w:t>ств тр</w:t>
      </w:r>
      <w:proofErr w:type="gramEnd"/>
      <w:r w:rsidRPr="00857307">
        <w:t>етьей стороной</w:t>
      </w:r>
      <w:r w:rsidR="0055707A">
        <w:t>,</w:t>
      </w:r>
      <w:r w:rsidRPr="00857307">
        <w:t xml:space="preserve"> например, клиринговым центром или торговой площадкой при проведении сделок через организатора торговли; </w:t>
      </w:r>
    </w:p>
    <w:p w:rsidR="001A73A4" w:rsidRPr="00857307" w:rsidRDefault="001A73A4" w:rsidP="000E3FE4">
      <w:pPr>
        <w:pStyle w:val="08"/>
      </w:pPr>
      <w:r w:rsidRPr="00857307">
        <w:t>риски неуплаты эмитентом долгового инструмента основного долга</w:t>
      </w:r>
      <w:r w:rsidR="0055707A">
        <w:t>,</w:t>
      </w:r>
      <w:r w:rsidRPr="00857307">
        <w:t xml:space="preserve"> процентов или другого имущественного эквивалента;</w:t>
      </w:r>
    </w:p>
    <w:p w:rsidR="001A73A4" w:rsidRPr="00857307" w:rsidRDefault="001A73A4" w:rsidP="000E3FE4">
      <w:pPr>
        <w:pStyle w:val="08"/>
      </w:pPr>
      <w:r w:rsidRPr="00857307">
        <w:t>риски концентрации обязательств на одного или группу контрагентов;</w:t>
      </w:r>
    </w:p>
    <w:p w:rsidR="001A73A4" w:rsidRPr="00857307" w:rsidRDefault="001A73A4" w:rsidP="000E3FE4">
      <w:pPr>
        <w:pStyle w:val="08"/>
      </w:pPr>
      <w:r w:rsidRPr="00857307">
        <w:t>риски необеспеченной задолженности по клиентским/собственным счетам, возникающие вследствие предоставления клиентам услуг маржинального кредитования ввиду рыночного риска;</w:t>
      </w:r>
    </w:p>
    <w:p w:rsidR="001A73A4" w:rsidRPr="00857307" w:rsidRDefault="001A73A4" w:rsidP="000E3FE4">
      <w:pPr>
        <w:pStyle w:val="08"/>
      </w:pPr>
      <w:r w:rsidRPr="00857307">
        <w:t>риски концентрации маржинальных займов в одном активе;</w:t>
      </w:r>
    </w:p>
    <w:p w:rsidR="001A73A4" w:rsidRPr="00857307" w:rsidRDefault="001A73A4" w:rsidP="000E3FE4">
      <w:pPr>
        <w:pStyle w:val="08"/>
      </w:pPr>
      <w:r w:rsidRPr="00857307">
        <w:t>риски необеспеченной задолженности на обособленном разделе срочного рынка по клиентским счетам ввиду рыночного риска.</w:t>
      </w:r>
    </w:p>
    <w:p w:rsidR="001A73A4" w:rsidRPr="000E3FE4" w:rsidRDefault="001A73A4" w:rsidP="000E3FE4">
      <w:pPr>
        <w:pStyle w:val="050"/>
      </w:pPr>
      <w:r w:rsidRPr="000E3FE4">
        <w:t xml:space="preserve">Для мониторинга кредитных рисков с каждым контрагентом проводится процедура </w:t>
      </w:r>
      <w:proofErr w:type="spellStart"/>
      <w:r w:rsidRPr="000E3FE4">
        <w:t>Know</w:t>
      </w:r>
      <w:proofErr w:type="spellEnd"/>
      <w:r w:rsidRPr="000E3FE4">
        <w:t xml:space="preserve"> </w:t>
      </w:r>
      <w:proofErr w:type="spellStart"/>
      <w:r w:rsidRPr="000E3FE4">
        <w:t>Your</w:t>
      </w:r>
      <w:proofErr w:type="spellEnd"/>
      <w:r w:rsidRPr="000E3FE4">
        <w:t xml:space="preserve"> </w:t>
      </w:r>
      <w:proofErr w:type="spellStart"/>
      <w:r w:rsidRPr="000E3FE4">
        <w:t>Customer</w:t>
      </w:r>
      <w:proofErr w:type="spellEnd"/>
      <w:r w:rsidRPr="000E3FE4">
        <w:t xml:space="preserve">, а также при взаимодействии с Департаментом анализа и управления рисками устанавливается лимит на сделки разных типов (РЕПО, покупки/продажи на условиях </w:t>
      </w:r>
      <w:proofErr w:type="spellStart"/>
      <w:r w:rsidRPr="000E3FE4">
        <w:t>предпоставки</w:t>
      </w:r>
      <w:proofErr w:type="spellEnd"/>
      <w:r w:rsidRPr="000E3FE4">
        <w:t>/свободной поставки), дисконтов по бумагам, предоставляемы</w:t>
      </w:r>
      <w:r w:rsidR="0063469A" w:rsidRPr="000E3FE4">
        <w:t>х</w:t>
      </w:r>
      <w:r w:rsidRPr="000E3FE4">
        <w:t xml:space="preserve"> в качестве залога при операциях РЕПО. </w:t>
      </w:r>
    </w:p>
    <w:p w:rsidR="001A73A4" w:rsidRPr="000E3FE4" w:rsidRDefault="001A73A4" w:rsidP="000E3FE4">
      <w:pPr>
        <w:pStyle w:val="050"/>
      </w:pPr>
      <w:r w:rsidRPr="000E3FE4">
        <w:lastRenderedPageBreak/>
        <w:t>В случае, когда один из типов лимита был нарушен Обществом, ответственный сотрудник Управления брокерских операций в течение дня подготавливает исчерпывающий ответ об осуществлённом нарушении и его причинах.</w:t>
      </w:r>
    </w:p>
    <w:p w:rsidR="001A73A4" w:rsidRPr="000E3FE4" w:rsidRDefault="001A73A4" w:rsidP="000E3FE4">
      <w:pPr>
        <w:pStyle w:val="050"/>
      </w:pPr>
      <w:r w:rsidRPr="000E3FE4">
        <w:t xml:space="preserve">На рынке </w:t>
      </w:r>
      <w:proofErr w:type="spellStart"/>
      <w:r w:rsidRPr="000E3FE4">
        <w:t>Classica</w:t>
      </w:r>
      <w:proofErr w:type="spellEnd"/>
      <w:r w:rsidR="0063469A" w:rsidRPr="000E3FE4">
        <w:t xml:space="preserve"> </w:t>
      </w:r>
      <w:r w:rsidR="00144AD7" w:rsidRPr="000E3FE4">
        <w:t>и на внебиржевом рынке</w:t>
      </w:r>
      <w:r w:rsidRPr="000E3FE4">
        <w:t xml:space="preserve"> Общество исполняет исключительно клиентские приказы при наличии полного депонирования на счете клиента актива</w:t>
      </w:r>
      <w:r w:rsidR="0063469A" w:rsidRPr="000E3FE4">
        <w:t>,</w:t>
      </w:r>
      <w:r w:rsidRPr="000E3FE4">
        <w:t xml:space="preserve"> необходимого для расчетов по сделке.</w:t>
      </w:r>
    </w:p>
    <w:p w:rsidR="001A73A4" w:rsidRPr="000E3FE4" w:rsidRDefault="001A73A4" w:rsidP="000E3FE4">
      <w:pPr>
        <w:pStyle w:val="07111"/>
        <w:rPr>
          <w:b/>
          <w:i/>
        </w:rPr>
      </w:pPr>
      <w:r w:rsidRPr="000E3FE4">
        <w:rPr>
          <w:b/>
          <w:i/>
        </w:rPr>
        <w:t>Риск ликвидности</w:t>
      </w:r>
    </w:p>
    <w:p w:rsidR="001A73A4" w:rsidRPr="000E3FE4" w:rsidRDefault="001A73A4" w:rsidP="000E3FE4">
      <w:pPr>
        <w:pStyle w:val="050"/>
      </w:pPr>
      <w:r w:rsidRPr="000E3FE4">
        <w:t>Данный вид риска подразделяются на два типа:</w:t>
      </w:r>
    </w:p>
    <w:p w:rsidR="001A73A4" w:rsidRPr="000E3FE4" w:rsidRDefault="001A73A4" w:rsidP="000E3FE4">
      <w:pPr>
        <w:pStyle w:val="050"/>
      </w:pPr>
      <w:r w:rsidRPr="000E3FE4">
        <w:t>1) Риск платёжной ликвидности – риск невыполнения обязательств перед клиентом или контрагентом ввиду отсутствия необходимого количества денежных средств, номинированных в валюте обязательств</w:t>
      </w:r>
      <w:r w:rsidR="0063469A" w:rsidRPr="000E3FE4">
        <w:t>,</w:t>
      </w:r>
      <w:r w:rsidRPr="000E3FE4">
        <w:t xml:space="preserve"> либо ценных бумаг, необходимых в достаточном количестве для расчетов по сделкам клиентов</w:t>
      </w:r>
      <w:r w:rsidR="0063469A" w:rsidRPr="000E3FE4">
        <w:t>,</w:t>
      </w:r>
      <w:r w:rsidRPr="000E3FE4">
        <w:t xml:space="preserve"> либо обеспечения исполнения неторговых операций</w:t>
      </w:r>
      <w:r w:rsidR="0063469A" w:rsidRPr="000E3FE4">
        <w:t>;</w:t>
      </w:r>
    </w:p>
    <w:p w:rsidR="001A73A4" w:rsidRPr="000E3FE4" w:rsidRDefault="001A73A4" w:rsidP="000E3FE4">
      <w:pPr>
        <w:pStyle w:val="050"/>
      </w:pPr>
      <w:r w:rsidRPr="000E3FE4">
        <w:t>2) Риск рыночной ликвидности – риск уменьшения количества покупателей/продавцов на открытом рынке, увеличения спреда и времени реализации обеспечения по необеспеченным и РЕПО сделкам.</w:t>
      </w:r>
    </w:p>
    <w:p w:rsidR="001A73A4" w:rsidRPr="000E3FE4" w:rsidRDefault="001A73A4" w:rsidP="000E3FE4">
      <w:pPr>
        <w:pStyle w:val="050"/>
      </w:pPr>
      <w:r w:rsidRPr="000E3FE4">
        <w:t>Для осуществления своевременных платежей клиентам Общества на ежедневной основе происходит мониторинг расчётов сделок, резервирование денежных остатков на Специальных брокерских счетах и сверка денежных остатков.</w:t>
      </w:r>
    </w:p>
    <w:p w:rsidR="001A73A4" w:rsidRPr="000E3FE4" w:rsidRDefault="001A73A4" w:rsidP="000E3FE4">
      <w:pPr>
        <w:pStyle w:val="050"/>
      </w:pPr>
      <w:r w:rsidRPr="000E3FE4">
        <w:t>При обработке неторговых поручений клиентов каждое поручение проверяется со стороны трёх структурных подразделений Общества, отвечающих за риск-менеджмент, бухгалтерию и внутренний учёт. Подобная процедура позволяет минимизировать операционный риск осуществления некорректных платежей.</w:t>
      </w:r>
    </w:p>
    <w:p w:rsidR="001A73A4" w:rsidRPr="00857307" w:rsidRDefault="001A73A4" w:rsidP="001A73A4">
      <w:pPr>
        <w:pStyle w:val="07111"/>
        <w:rPr>
          <w:b/>
          <w:i/>
          <w:lang w:eastAsia="ru-RU"/>
        </w:rPr>
      </w:pPr>
      <w:r w:rsidRPr="00857307">
        <w:rPr>
          <w:b/>
          <w:i/>
          <w:lang w:eastAsia="ru-RU"/>
        </w:rPr>
        <w:t>Операционные риск</w:t>
      </w:r>
    </w:p>
    <w:p w:rsidR="001A73A4" w:rsidRPr="000E3FE4" w:rsidRDefault="001A73A4" w:rsidP="000E3FE4">
      <w:pPr>
        <w:pStyle w:val="050"/>
      </w:pPr>
      <w:r w:rsidRPr="000E3FE4">
        <w:t xml:space="preserve">Операционный риск определен в Обществе как вероятность возникновения прямых или косвенных убытков (т.е. негативный характер) в результате недостатков (в </w:t>
      </w:r>
      <w:proofErr w:type="spellStart"/>
      <w:r w:rsidRPr="000E3FE4">
        <w:t>т.ч</w:t>
      </w:r>
      <w:proofErr w:type="spellEnd"/>
      <w:r w:rsidRPr="000E3FE4">
        <w:t>. мошенничества) или ошибок, допущенных со стороны сотрудников Общества в ходе осуществления внутренних процессов, функционирования информационных систем и технологий, а также вследствие воздействия внешних событий.</w:t>
      </w:r>
    </w:p>
    <w:p w:rsidR="001A73A4" w:rsidRPr="000E3FE4" w:rsidRDefault="001A73A4" w:rsidP="000E3FE4">
      <w:pPr>
        <w:pStyle w:val="050"/>
      </w:pPr>
      <w:r w:rsidRPr="000E3FE4">
        <w:t xml:space="preserve">Обществом была разработана </w:t>
      </w:r>
      <w:r w:rsidR="0063469A" w:rsidRPr="000E3FE4">
        <w:t xml:space="preserve">собственная система управления операционными рисками (далее – СУОР), на которую </w:t>
      </w:r>
      <w:r w:rsidRPr="000E3FE4">
        <w:t xml:space="preserve"> Общество перешло</w:t>
      </w:r>
      <w:r w:rsidR="0063469A" w:rsidRPr="000E3FE4">
        <w:t xml:space="preserve"> в 2011 году</w:t>
      </w:r>
      <w:proofErr w:type="gramStart"/>
      <w:r w:rsidRPr="000E3FE4">
        <w:t xml:space="preserve"> .</w:t>
      </w:r>
      <w:proofErr w:type="gramEnd"/>
      <w:r w:rsidRPr="000E3FE4">
        <w:t xml:space="preserve"> Целью СУОР является: повышение качества управления в результате снижения вероятности реализации операционных рисков в деятельности Общества. Задачами СУОР являются: а) фиксация, систематизация и оценка операционных рисков (в </w:t>
      </w:r>
      <w:proofErr w:type="spellStart"/>
      <w:r w:rsidRPr="000E3FE4">
        <w:t>т.ч</w:t>
      </w:r>
      <w:proofErr w:type="spellEnd"/>
      <w:r w:rsidRPr="000E3FE4">
        <w:t>. причин, ответственных лиц и последствий); б) своевременное доведение до сведения заинтересованных лиц информации об операционных рисках; в) отслеживание принятия мер, направленных на устранение и недопущение реализации в дальнейшей деятельности Общества операционных рисков.</w:t>
      </w:r>
    </w:p>
    <w:p w:rsidR="001A73A4" w:rsidRPr="000E3FE4" w:rsidRDefault="001A73A4" w:rsidP="000E3FE4">
      <w:pPr>
        <w:pStyle w:val="050"/>
      </w:pPr>
      <w:r w:rsidRPr="000E3FE4">
        <w:t>В Обществе действует Регламент сбора и регистрации данных о событиях операционного риска, в котором определены основные понятия, а также требования и обязанности, возлагающиеся на каждого работника и должностное лицо Общества.</w:t>
      </w:r>
    </w:p>
    <w:p w:rsidR="001A73A4" w:rsidRPr="000E3FE4" w:rsidRDefault="001A73A4" w:rsidP="000E3FE4">
      <w:pPr>
        <w:pStyle w:val="050"/>
      </w:pPr>
      <w:r w:rsidRPr="000E3FE4">
        <w:t xml:space="preserve">Функционал управления операционными рисками и администрирования СУОР возложен на УВК. Под каждое событие операционного риска создается группа расследования. Высшим коллегиальным органом по управлению операционными рисками является Комитет по управлению рисками, который состоит </w:t>
      </w:r>
      <w:proofErr w:type="gramStart"/>
      <w:r w:rsidRPr="000E3FE4">
        <w:t>из</w:t>
      </w:r>
      <w:proofErr w:type="gramEnd"/>
      <w:r w:rsidRPr="000E3FE4">
        <w:t xml:space="preserve">: Генерального директора, </w:t>
      </w:r>
      <w:r w:rsidR="00C66746" w:rsidRPr="000E3FE4">
        <w:t>Операционного директора</w:t>
      </w:r>
      <w:r w:rsidRPr="000E3FE4">
        <w:t xml:space="preserve">, Заместителя Генерального директора Начальника управления внутреннего контроля. Задачами Комитета являются: 1) урегулирование спорных ситуаций; 2) принятие решений об оставлении СОР без рассмотрения в случае, когда разбирательства по СОР признаются более затратными, чем </w:t>
      </w:r>
      <w:r w:rsidRPr="000E3FE4">
        <w:lastRenderedPageBreak/>
        <w:t xml:space="preserve">потенциальный негативный убыток </w:t>
      </w:r>
      <w:proofErr w:type="gramStart"/>
      <w:r w:rsidRPr="000E3FE4">
        <w:t>от</w:t>
      </w:r>
      <w:proofErr w:type="gramEnd"/>
      <w:r w:rsidRPr="000E3FE4">
        <w:t xml:space="preserve"> </w:t>
      </w:r>
      <w:proofErr w:type="gramStart"/>
      <w:r w:rsidRPr="000E3FE4">
        <w:t>СОР</w:t>
      </w:r>
      <w:proofErr w:type="gramEnd"/>
      <w:r w:rsidRPr="000E3FE4">
        <w:t>; 3) принятие решений о мерах в отношении лиц, сокрывших информацию о нарушении/сбое и/или нарушивших иные требования данного Регламента. Ежемесячно отчетность по СУОР рассматривается на плановых заседаниях руководства Общества.</w:t>
      </w:r>
    </w:p>
    <w:p w:rsidR="001A73A4" w:rsidRPr="000E3FE4" w:rsidRDefault="001A73A4" w:rsidP="000E3FE4">
      <w:pPr>
        <w:pStyle w:val="050"/>
      </w:pPr>
      <w:r w:rsidRPr="000E3FE4">
        <w:t>Меры, принятые Обществом в 2014 году для управления операционными рисками, позволили снизить общее количество потенциально рисковых событий на 23,65%. Среднее количество дней, которое затрачивается на устранение одного события риска</w:t>
      </w:r>
      <w:r w:rsidR="0063469A" w:rsidRPr="000E3FE4">
        <w:t>,</w:t>
      </w:r>
      <w:r w:rsidRPr="000E3FE4">
        <w:t xml:space="preserve"> снизилось за год на 33,65 %, при этом общее количество событий риска, которые устранены ранее плановой даты, возросло на 42,11%.</w:t>
      </w:r>
    </w:p>
    <w:p w:rsidR="001A73A4" w:rsidRPr="000E3FE4" w:rsidRDefault="001A73A4" w:rsidP="000E3FE4">
      <w:pPr>
        <w:pStyle w:val="050"/>
      </w:pPr>
      <w:r w:rsidRPr="000E3FE4">
        <w:t>В разрезе причин возникновения событий операционных рисков присутствует положительная динамика уменьшения ошибок персонала. Количество события риска, причиной возникновения которых является «ошибка персонала», по сравнению с 2013 годом снизилось на 37%.</w:t>
      </w:r>
    </w:p>
    <w:p w:rsidR="001A73A4" w:rsidRPr="000E3FE4" w:rsidRDefault="001A73A4" w:rsidP="000E3FE4">
      <w:pPr>
        <w:pStyle w:val="050"/>
      </w:pPr>
      <w:r w:rsidRPr="000E3FE4">
        <w:t>На настоящее время все задачи, определенные для СУОР, в Обществе эффективно реализуются.</w:t>
      </w:r>
    </w:p>
    <w:p w:rsidR="001A73A4" w:rsidRPr="000E3FE4" w:rsidRDefault="001A73A4" w:rsidP="000E3FE4">
      <w:pPr>
        <w:pStyle w:val="050"/>
      </w:pPr>
      <w:r w:rsidRPr="000E3FE4">
        <w:t xml:space="preserve">В Обществе утвержден и действует Перечень мер по снижению рисков, связанных с профессиональной деятельностью на рынке ценных бумаг, включающий меры при совмещении различных видов профессиональной деятельности на рынке ценных бумаг. </w:t>
      </w:r>
    </w:p>
    <w:p w:rsidR="001A73A4" w:rsidRPr="000E3FE4" w:rsidRDefault="001A73A4" w:rsidP="000E3FE4">
      <w:pPr>
        <w:pStyle w:val="050"/>
      </w:pPr>
      <w:r w:rsidRPr="000E3FE4">
        <w:t xml:space="preserve">В течение дня сотрудники Отдела рисков осуществляют </w:t>
      </w:r>
      <w:proofErr w:type="gramStart"/>
      <w:r w:rsidRPr="000E3FE4">
        <w:t>контроль за</w:t>
      </w:r>
      <w:proofErr w:type="gramEnd"/>
      <w:r w:rsidRPr="000E3FE4">
        <w:t xml:space="preserve"> соблюдением требований нормативов и законодательства в части совершения отдельных сделок (маржинальных и необеспеченных сделок), а также неторговых и прочих операци</w:t>
      </w:r>
      <w:r w:rsidR="0063469A" w:rsidRPr="000E3FE4">
        <w:t>й</w:t>
      </w:r>
      <w:r w:rsidRPr="000E3FE4">
        <w:t>. В случае</w:t>
      </w:r>
      <w:proofErr w:type="gramStart"/>
      <w:r w:rsidRPr="000E3FE4">
        <w:t>,</w:t>
      </w:r>
      <w:proofErr w:type="gramEnd"/>
      <w:r w:rsidRPr="000E3FE4">
        <w:t xml:space="preserve"> если клиентом самостоятельно или из-за операционной ошибки сотрудника Общества было допущено нарушение, осуществляются меры, направленные на устранение нарушения, с обязательным уведомлением Управления внутреннего контроля. </w:t>
      </w:r>
    </w:p>
    <w:p w:rsidR="001A73A4" w:rsidRPr="000E3FE4" w:rsidRDefault="001A73A4" w:rsidP="000E3FE4">
      <w:pPr>
        <w:pStyle w:val="050"/>
      </w:pPr>
      <w:r w:rsidRPr="000E3FE4">
        <w:t xml:space="preserve">В Обществе разработана и реализуется система мер, направленных на снижение рисков, связанных с совмещением различных видов профессиональной деятельности, включая, </w:t>
      </w:r>
      <w:proofErr w:type="gramStart"/>
      <w:r w:rsidRPr="000E3FE4">
        <w:t>но</w:t>
      </w:r>
      <w:proofErr w:type="gramEnd"/>
      <w:r w:rsidRPr="000E3FE4">
        <w:t xml:space="preserve"> не ограничиваясь: разграничение доступов к информации и документам, разграничение функционала м/у обособленными структурными подразделениями, автоматизированная система мониторинга и выявления конфликтов интересов на уровне сделок с ценными бумагами и производными финансовыми инструментами.</w:t>
      </w:r>
    </w:p>
    <w:p w:rsidR="001A73A4" w:rsidRPr="000E3FE4" w:rsidRDefault="001A73A4" w:rsidP="000E3FE4">
      <w:pPr>
        <w:pStyle w:val="0710"/>
      </w:pPr>
      <w:bookmarkStart w:id="7" w:name="_Toc423027495"/>
      <w:r w:rsidRPr="000E3FE4">
        <w:t>ПЕРЕЧЕНЬ СОВЕРШЕННЫХ ОБЩЕСТВОМ В ОТЧЕТНОМ ГОДУ СДЕЛОК, ПРИЗНАВАЕМЫХ КРУПНЫМИ СДЕЛКАМИ, А ТАКЖЕ ИНЫХ СДЕЛОК, НА СОВЕРШЕНИЕ КОТОРЫХ В СООТВЕТСТВИИ С УСТАВОМ ОБЩЕСТВА РАСПРОСТРАНЯЕТСЯ ПОРЯДОК ОДОБРЕНИЯ КРУПНЫХ СДЕЛОК</w:t>
      </w:r>
      <w:bookmarkEnd w:id="7"/>
    </w:p>
    <w:p w:rsidR="001A73A4" w:rsidRPr="00857307" w:rsidRDefault="001A73A4" w:rsidP="000E3FE4">
      <w:pPr>
        <w:pStyle w:val="050"/>
        <w:rPr>
          <w:b/>
        </w:rPr>
      </w:pPr>
      <w:r w:rsidRPr="00857307">
        <w:t>В течение 2014 года Обществом не совершались сделки, признаваемые в соответствии с Федеральным законом № 208-ФЗ от 26.12.1995 «Об акционерных обществах» крупными сделками.</w:t>
      </w:r>
    </w:p>
    <w:p w:rsidR="001A73A4" w:rsidRPr="000E3FE4" w:rsidRDefault="001A73A4" w:rsidP="000E3FE4">
      <w:pPr>
        <w:pStyle w:val="0710"/>
      </w:pPr>
      <w:bookmarkStart w:id="8" w:name="_Toc423027496"/>
      <w:r w:rsidRPr="000E3FE4">
        <w:t>ПЕРЕЧЕНЬ СОВЕРШЕННЫХ ОБЩЕСТВОМ В ОТЧЕТНОМ ГОДУ СДЕЛОК, В СОВЕРШЕНИИ КОТОРЫХ ИМЕЕТСЯ ЗАИНТЕРЕСОВАННОСТЬ</w:t>
      </w:r>
      <w:bookmarkEnd w:id="8"/>
    </w:p>
    <w:p w:rsidR="001A73A4" w:rsidRPr="000E3FE4" w:rsidRDefault="001A73A4" w:rsidP="000E3FE4">
      <w:pPr>
        <w:pStyle w:val="050"/>
        <w:rPr>
          <w:rStyle w:val="SUBST"/>
          <w:b w:val="0"/>
          <w:i w:val="0"/>
          <w:sz w:val="20"/>
        </w:rPr>
      </w:pPr>
      <w:r w:rsidRPr="000E3FE4">
        <w:rPr>
          <w:rStyle w:val="SUBST"/>
          <w:b w:val="0"/>
          <w:i w:val="0"/>
          <w:sz w:val="20"/>
        </w:rPr>
        <w:t>В течение 2014 года Обществом не совершались сделки, признаваемые в соответствии с Федеральным законом № 208-ФЗ от 26.12.1995 «Об акционерных обществах» сделками, в совершении которых имелась заинтересованность.</w:t>
      </w:r>
    </w:p>
    <w:p w:rsidR="001A73A4" w:rsidRPr="000E3FE4" w:rsidRDefault="001A73A4" w:rsidP="000E3FE4">
      <w:pPr>
        <w:pStyle w:val="0710"/>
      </w:pPr>
      <w:bookmarkStart w:id="9" w:name="_Toc423027497"/>
      <w:r w:rsidRPr="000E3FE4">
        <w:t>СОСТАВ СОВЕТА ДИРЕКТОРОВ ОБЩЕСТВА</w:t>
      </w:r>
      <w:bookmarkEnd w:id="9"/>
    </w:p>
    <w:p w:rsidR="001A73A4" w:rsidRPr="000E3FE4" w:rsidRDefault="001A73A4" w:rsidP="000E3FE4">
      <w:pPr>
        <w:pStyle w:val="050"/>
      </w:pPr>
      <w:r w:rsidRPr="000E3FE4">
        <w:t>С 28.06.2013 по 30.06.2014 в Обществе действовал состав Совета директоров, избранный решением Годового общего собрания акционеров Общества (Протокол № 2013-06-28 от 01.07.2013):</w:t>
      </w:r>
    </w:p>
    <w:p w:rsidR="001A73A4" w:rsidRPr="000E3FE4" w:rsidRDefault="001A73A4" w:rsidP="000E3FE4">
      <w:pPr>
        <w:pStyle w:val="050"/>
        <w:numPr>
          <w:ilvl w:val="0"/>
          <w:numId w:val="35"/>
        </w:numPr>
      </w:pPr>
      <w:proofErr w:type="spellStart"/>
      <w:r w:rsidRPr="000E3FE4">
        <w:t>Данкевич</w:t>
      </w:r>
      <w:proofErr w:type="spellEnd"/>
      <w:r w:rsidRPr="000E3FE4">
        <w:t xml:space="preserve"> Евгений Леонидович - председатель;</w:t>
      </w:r>
    </w:p>
    <w:p w:rsidR="001A73A4" w:rsidRPr="000E3FE4" w:rsidRDefault="001A73A4" w:rsidP="000E3FE4">
      <w:pPr>
        <w:pStyle w:val="050"/>
        <w:numPr>
          <w:ilvl w:val="0"/>
          <w:numId w:val="35"/>
        </w:numPr>
      </w:pPr>
      <w:proofErr w:type="spellStart"/>
      <w:r w:rsidRPr="000E3FE4">
        <w:lastRenderedPageBreak/>
        <w:t>Ромаев</w:t>
      </w:r>
      <w:proofErr w:type="spellEnd"/>
      <w:r w:rsidRPr="000E3FE4">
        <w:t xml:space="preserve"> Дмитрий  </w:t>
      </w:r>
      <w:proofErr w:type="spellStart"/>
      <w:r w:rsidRPr="000E3FE4">
        <w:t>Закериевич</w:t>
      </w:r>
      <w:proofErr w:type="spellEnd"/>
      <w:r w:rsidRPr="000E3FE4">
        <w:t>;</w:t>
      </w:r>
    </w:p>
    <w:p w:rsidR="001A73A4" w:rsidRPr="000E3FE4" w:rsidRDefault="001A73A4" w:rsidP="000E3FE4">
      <w:pPr>
        <w:pStyle w:val="050"/>
        <w:numPr>
          <w:ilvl w:val="0"/>
          <w:numId w:val="35"/>
        </w:numPr>
      </w:pPr>
      <w:r w:rsidRPr="000E3FE4">
        <w:t>Целминьш Светлана Юрисовна;</w:t>
      </w:r>
    </w:p>
    <w:p w:rsidR="001A73A4" w:rsidRPr="000E3FE4" w:rsidRDefault="001A73A4" w:rsidP="000E3FE4">
      <w:pPr>
        <w:pStyle w:val="050"/>
        <w:numPr>
          <w:ilvl w:val="0"/>
          <w:numId w:val="35"/>
        </w:numPr>
      </w:pPr>
      <w:r w:rsidRPr="000E3FE4">
        <w:t>Авксентьева Валерия Викторовна;</w:t>
      </w:r>
    </w:p>
    <w:p w:rsidR="001A73A4" w:rsidRPr="000E3FE4" w:rsidRDefault="001A73A4" w:rsidP="000E3FE4">
      <w:pPr>
        <w:pStyle w:val="050"/>
        <w:numPr>
          <w:ilvl w:val="0"/>
          <w:numId w:val="35"/>
        </w:numPr>
      </w:pPr>
      <w:r w:rsidRPr="000E3FE4">
        <w:t>Минцев Юрий Николаевич;</w:t>
      </w:r>
    </w:p>
    <w:p w:rsidR="001A73A4" w:rsidRPr="000E3FE4" w:rsidRDefault="001A73A4" w:rsidP="000E3FE4">
      <w:pPr>
        <w:pStyle w:val="050"/>
        <w:numPr>
          <w:ilvl w:val="0"/>
          <w:numId w:val="35"/>
        </w:numPr>
      </w:pPr>
      <w:proofErr w:type="spellStart"/>
      <w:r w:rsidRPr="000E3FE4">
        <w:t>Карахан</w:t>
      </w:r>
      <w:proofErr w:type="spellEnd"/>
      <w:r w:rsidRPr="000E3FE4">
        <w:t xml:space="preserve"> Алексей Львович.</w:t>
      </w:r>
    </w:p>
    <w:p w:rsidR="001A73A4" w:rsidRPr="000E3FE4" w:rsidRDefault="001A73A4" w:rsidP="000E3FE4">
      <w:pPr>
        <w:pStyle w:val="050"/>
      </w:pPr>
      <w:r w:rsidRPr="000E3FE4">
        <w:t>Решением Годового общего собрания акционеров Общества (Протокол № 2014-06-30 от 30.06.2014) Совет директоров был избран в прежнем составе:</w:t>
      </w:r>
    </w:p>
    <w:p w:rsidR="001A73A4" w:rsidRPr="000E3FE4" w:rsidRDefault="001A73A4" w:rsidP="000E3FE4">
      <w:pPr>
        <w:pStyle w:val="050"/>
        <w:numPr>
          <w:ilvl w:val="0"/>
          <w:numId w:val="36"/>
        </w:numPr>
      </w:pPr>
      <w:proofErr w:type="spellStart"/>
      <w:r w:rsidRPr="000E3FE4">
        <w:t>Данкевич</w:t>
      </w:r>
      <w:proofErr w:type="spellEnd"/>
      <w:r w:rsidRPr="000E3FE4">
        <w:t xml:space="preserve"> Евгений Леонидович - председатель;</w:t>
      </w:r>
    </w:p>
    <w:p w:rsidR="001A73A4" w:rsidRPr="000E3FE4" w:rsidRDefault="001A73A4" w:rsidP="000E3FE4">
      <w:pPr>
        <w:pStyle w:val="050"/>
        <w:numPr>
          <w:ilvl w:val="0"/>
          <w:numId w:val="36"/>
        </w:numPr>
      </w:pPr>
      <w:proofErr w:type="spellStart"/>
      <w:r w:rsidRPr="000E3FE4">
        <w:t>Ромаев</w:t>
      </w:r>
      <w:proofErr w:type="spellEnd"/>
      <w:r w:rsidRPr="000E3FE4">
        <w:t xml:space="preserve"> Дмитрий  </w:t>
      </w:r>
      <w:proofErr w:type="spellStart"/>
      <w:r w:rsidRPr="000E3FE4">
        <w:t>Закериевич</w:t>
      </w:r>
      <w:proofErr w:type="spellEnd"/>
      <w:r w:rsidRPr="000E3FE4">
        <w:t>;</w:t>
      </w:r>
    </w:p>
    <w:p w:rsidR="001A73A4" w:rsidRPr="000E3FE4" w:rsidRDefault="001A73A4" w:rsidP="000E3FE4">
      <w:pPr>
        <w:pStyle w:val="050"/>
        <w:numPr>
          <w:ilvl w:val="0"/>
          <w:numId w:val="36"/>
        </w:numPr>
      </w:pPr>
      <w:r w:rsidRPr="000E3FE4">
        <w:t>Целминьш Светлана Юрисовна;</w:t>
      </w:r>
    </w:p>
    <w:p w:rsidR="001A73A4" w:rsidRPr="000E3FE4" w:rsidRDefault="001A73A4" w:rsidP="000E3FE4">
      <w:pPr>
        <w:pStyle w:val="050"/>
        <w:numPr>
          <w:ilvl w:val="0"/>
          <w:numId w:val="36"/>
        </w:numPr>
      </w:pPr>
      <w:r w:rsidRPr="000E3FE4">
        <w:t>Авксентьева Валерия Викторовна;</w:t>
      </w:r>
    </w:p>
    <w:p w:rsidR="001A73A4" w:rsidRPr="000E3FE4" w:rsidRDefault="001A73A4" w:rsidP="000E3FE4">
      <w:pPr>
        <w:pStyle w:val="050"/>
        <w:numPr>
          <w:ilvl w:val="0"/>
          <w:numId w:val="36"/>
        </w:numPr>
      </w:pPr>
      <w:r w:rsidRPr="000E3FE4">
        <w:t>Минцев Юрий Николаевич;</w:t>
      </w:r>
    </w:p>
    <w:p w:rsidR="001A73A4" w:rsidRPr="000E3FE4" w:rsidRDefault="001A73A4" w:rsidP="000E3FE4">
      <w:pPr>
        <w:pStyle w:val="050"/>
        <w:numPr>
          <w:ilvl w:val="0"/>
          <w:numId w:val="36"/>
        </w:numPr>
      </w:pPr>
      <w:proofErr w:type="spellStart"/>
      <w:r w:rsidRPr="000E3FE4">
        <w:t>Карахан</w:t>
      </w:r>
      <w:proofErr w:type="spellEnd"/>
      <w:r w:rsidRPr="000E3FE4">
        <w:t xml:space="preserve"> Алексей Львович.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387"/>
        <w:gridCol w:w="4307"/>
        <w:gridCol w:w="2335"/>
      </w:tblGrid>
      <w:tr w:rsidR="001A73A4" w:rsidRPr="00857307" w:rsidTr="00720F36">
        <w:trPr>
          <w:tblHeader/>
        </w:trPr>
        <w:tc>
          <w:tcPr>
            <w:tcW w:w="283" w:type="pct"/>
            <w:vAlign w:val="center"/>
          </w:tcPr>
          <w:p w:rsidR="001A73A4" w:rsidRPr="00857307" w:rsidRDefault="001A73A4" w:rsidP="00720F36">
            <w:pPr>
              <w:pStyle w:val="06"/>
              <w:jc w:val="center"/>
              <w:rPr>
                <w:b/>
              </w:rPr>
            </w:pPr>
            <w:r w:rsidRPr="00857307">
              <w:rPr>
                <w:b/>
              </w:rPr>
              <w:t>№</w:t>
            </w:r>
          </w:p>
        </w:tc>
        <w:tc>
          <w:tcPr>
            <w:tcW w:w="1247" w:type="pct"/>
            <w:vAlign w:val="center"/>
          </w:tcPr>
          <w:p w:rsidR="001A73A4" w:rsidRPr="00857307" w:rsidRDefault="001A73A4" w:rsidP="00720F36">
            <w:pPr>
              <w:pStyle w:val="06"/>
              <w:jc w:val="center"/>
              <w:rPr>
                <w:b/>
              </w:rPr>
            </w:pPr>
            <w:r w:rsidRPr="00857307">
              <w:rPr>
                <w:b/>
              </w:rPr>
              <w:t>Ф.И.О.</w:t>
            </w:r>
          </w:p>
        </w:tc>
        <w:tc>
          <w:tcPr>
            <w:tcW w:w="2250" w:type="pct"/>
            <w:vAlign w:val="center"/>
          </w:tcPr>
          <w:p w:rsidR="001A73A4" w:rsidRPr="00857307" w:rsidRDefault="001A73A4" w:rsidP="00720F36">
            <w:pPr>
              <w:pStyle w:val="06"/>
              <w:jc w:val="center"/>
              <w:rPr>
                <w:b/>
              </w:rPr>
            </w:pPr>
            <w:r w:rsidRPr="00857307">
              <w:rPr>
                <w:b/>
              </w:rPr>
              <w:t>Краткие биографические данные</w:t>
            </w:r>
          </w:p>
        </w:tc>
        <w:tc>
          <w:tcPr>
            <w:tcW w:w="1220" w:type="pct"/>
            <w:vAlign w:val="center"/>
          </w:tcPr>
          <w:p w:rsidR="001A73A4" w:rsidRPr="00857307" w:rsidRDefault="001A73A4" w:rsidP="00720F36">
            <w:pPr>
              <w:pStyle w:val="06"/>
              <w:jc w:val="center"/>
              <w:rPr>
                <w:b/>
              </w:rPr>
            </w:pPr>
            <w:r w:rsidRPr="00857307">
              <w:rPr>
                <w:b/>
              </w:rPr>
              <w:t>Сведения о владении акциями, % от уставного капитала</w:t>
            </w:r>
          </w:p>
        </w:tc>
      </w:tr>
      <w:tr w:rsidR="001A73A4" w:rsidRPr="00857307" w:rsidTr="00720F36">
        <w:tc>
          <w:tcPr>
            <w:tcW w:w="283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szCs w:val="20"/>
                <w:lang w:eastAsia="ru-RU"/>
              </w:rPr>
            </w:pPr>
            <w:r w:rsidRPr="00857307">
              <w:rPr>
                <w:szCs w:val="20"/>
                <w:lang w:eastAsia="ru-RU"/>
              </w:rPr>
              <w:t>1</w:t>
            </w:r>
          </w:p>
        </w:tc>
        <w:tc>
          <w:tcPr>
            <w:tcW w:w="1247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bCs/>
                <w:szCs w:val="20"/>
                <w:lang w:eastAsia="ru-RU"/>
              </w:rPr>
            </w:pPr>
            <w:proofErr w:type="spellStart"/>
            <w:r w:rsidRPr="00857307">
              <w:rPr>
                <w:bCs/>
                <w:szCs w:val="20"/>
                <w:lang w:eastAsia="ru-RU"/>
              </w:rPr>
              <w:t>Данкевич</w:t>
            </w:r>
            <w:proofErr w:type="spellEnd"/>
            <w:r w:rsidRPr="00857307">
              <w:rPr>
                <w:bCs/>
                <w:szCs w:val="20"/>
                <w:lang w:eastAsia="ru-RU"/>
              </w:rPr>
              <w:t xml:space="preserve"> Евгений Леонидович</w:t>
            </w:r>
          </w:p>
        </w:tc>
        <w:tc>
          <w:tcPr>
            <w:tcW w:w="2250" w:type="pct"/>
            <w:shd w:val="clear" w:color="auto" w:fill="auto"/>
          </w:tcPr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рождения:</w:t>
            </w:r>
            <w:r w:rsidRPr="0085730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1968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Наименование учебного заведения: Московский ордена Трудового Красного Знамени институт электронной техники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окончания: 1990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Специальность: инженер электронной техники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Наименование учебного заведения: Академия народного хозяйства при Правительстве РФ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окончания: 1993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Специальность: финансовый менеджмент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Основное место работы: ПАО «Ханты-Мансийский банк Открытие»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Дата начала работы по основному месту работы: 05.11.2014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 xml:space="preserve">Должность, занимаемая в настоящее время по основному месту работы: </w:t>
            </w:r>
            <w:r w:rsidRPr="00857307">
              <w:rPr>
                <w:rFonts w:ascii="Arial" w:hAnsi="Arial" w:cs="Arial"/>
                <w:sz w:val="20"/>
                <w:szCs w:val="20"/>
              </w:rPr>
              <w:lastRenderedPageBreak/>
              <w:t>Председатель правления</w:t>
            </w:r>
          </w:p>
          <w:p w:rsidR="001A73A4" w:rsidRPr="00857307" w:rsidRDefault="001A73A4" w:rsidP="00720F36">
            <w:pPr>
              <w:pStyle w:val="06"/>
              <w:rPr>
                <w:szCs w:val="20"/>
                <w:lang w:eastAsia="ru-RU"/>
              </w:rPr>
            </w:pPr>
          </w:p>
        </w:tc>
        <w:tc>
          <w:tcPr>
            <w:tcW w:w="1220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szCs w:val="20"/>
                <w:lang w:eastAsia="ru-RU"/>
              </w:rPr>
            </w:pPr>
            <w:r w:rsidRPr="00857307">
              <w:rPr>
                <w:szCs w:val="20"/>
                <w:lang w:eastAsia="ru-RU"/>
              </w:rPr>
              <w:lastRenderedPageBreak/>
              <w:t>0,0 (в течение отчетного года доля не менялась)</w:t>
            </w:r>
          </w:p>
        </w:tc>
      </w:tr>
      <w:tr w:rsidR="001A73A4" w:rsidRPr="00857307" w:rsidTr="00720F36">
        <w:tc>
          <w:tcPr>
            <w:tcW w:w="283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lang w:eastAsia="ru-RU"/>
              </w:rPr>
            </w:pPr>
            <w:r w:rsidRPr="00857307">
              <w:rPr>
                <w:lang w:eastAsia="ru-RU"/>
              </w:rPr>
              <w:lastRenderedPageBreak/>
              <w:t>2</w:t>
            </w:r>
          </w:p>
        </w:tc>
        <w:tc>
          <w:tcPr>
            <w:tcW w:w="1247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lang w:eastAsia="ru-RU"/>
              </w:rPr>
            </w:pPr>
            <w:proofErr w:type="spellStart"/>
            <w:r w:rsidRPr="00857307">
              <w:rPr>
                <w:bCs/>
                <w:lang w:eastAsia="ru-RU"/>
              </w:rPr>
              <w:t>Ромаев</w:t>
            </w:r>
            <w:proofErr w:type="spellEnd"/>
            <w:r w:rsidRPr="00857307">
              <w:rPr>
                <w:bCs/>
                <w:lang w:eastAsia="ru-RU"/>
              </w:rPr>
              <w:t xml:space="preserve"> Дмитрий </w:t>
            </w:r>
            <w:proofErr w:type="spellStart"/>
            <w:r w:rsidRPr="00857307">
              <w:rPr>
                <w:bCs/>
                <w:lang w:eastAsia="ru-RU"/>
              </w:rPr>
              <w:t>Закериевич</w:t>
            </w:r>
            <w:proofErr w:type="spellEnd"/>
            <w:r w:rsidRPr="00857307" w:rsidDel="003F0836">
              <w:rPr>
                <w:bCs/>
                <w:lang w:eastAsia="ru-RU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</w:tcPr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 xml:space="preserve">Год рождения: </w:t>
            </w:r>
            <w:r w:rsidRPr="00857307">
              <w:rPr>
                <w:rFonts w:ascii="Arial" w:hAnsi="Arial" w:cs="Arial"/>
                <w:sz w:val="20"/>
                <w:szCs w:val="20"/>
                <w:lang w:eastAsia="ru-RU"/>
              </w:rPr>
              <w:t>1971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Наименование учебного заведения: Тульский ордена Трудового Красного Знамени Политехнический институт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окончания: 1993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 xml:space="preserve">Специальность: </w:t>
            </w:r>
            <w:r w:rsidRPr="00857307">
              <w:rPr>
                <w:rFonts w:ascii="Arial" w:hAnsi="Arial" w:cs="Arial"/>
                <w:bCs/>
                <w:sz w:val="20"/>
                <w:szCs w:val="20"/>
              </w:rPr>
              <w:t>вычислительные машины, комплексы, системы и сети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Наименование учебного заведения: Институт переподготовки и повышения квалификации кадров по финансово-банковским специальностям Финансовой академии при Правительстве РФ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окончания: 1997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Специальность: банковское дело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 xml:space="preserve">Основное место работы: Публичное акционерное общество Банк «Финансовая Корпорация Открытие» 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Дата начала работы по основному месту работы: 28.12.2012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Должность, занимаемая в настоящее время по основному месту работы: Президент, Председатель Правления</w:t>
            </w:r>
          </w:p>
          <w:p w:rsidR="001A73A4" w:rsidRPr="00857307" w:rsidRDefault="001A73A4" w:rsidP="00720F36">
            <w:pPr>
              <w:pStyle w:val="06"/>
              <w:rPr>
                <w:bCs/>
                <w:lang w:eastAsia="ru-RU"/>
              </w:rPr>
            </w:pPr>
          </w:p>
        </w:tc>
        <w:tc>
          <w:tcPr>
            <w:tcW w:w="1220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lang w:eastAsia="ru-RU"/>
              </w:rPr>
            </w:pPr>
            <w:r w:rsidRPr="00857307">
              <w:rPr>
                <w:lang w:eastAsia="ru-RU"/>
              </w:rPr>
              <w:t>0,0 (в течение отчетного года доля не менялась)</w:t>
            </w:r>
          </w:p>
        </w:tc>
      </w:tr>
      <w:tr w:rsidR="001A73A4" w:rsidRPr="00857307" w:rsidTr="00720F36">
        <w:tc>
          <w:tcPr>
            <w:tcW w:w="283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szCs w:val="20"/>
                <w:lang w:eastAsia="ru-RU"/>
              </w:rPr>
            </w:pPr>
            <w:r w:rsidRPr="00857307">
              <w:rPr>
                <w:szCs w:val="20"/>
                <w:lang w:eastAsia="ru-RU"/>
              </w:rPr>
              <w:t>3</w:t>
            </w:r>
          </w:p>
        </w:tc>
        <w:tc>
          <w:tcPr>
            <w:tcW w:w="1247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szCs w:val="20"/>
                <w:lang w:eastAsia="ru-RU"/>
              </w:rPr>
            </w:pPr>
            <w:r w:rsidRPr="00857307">
              <w:rPr>
                <w:bCs/>
                <w:szCs w:val="20"/>
                <w:lang w:eastAsia="ru-RU"/>
              </w:rPr>
              <w:t>Целминьш Светлана Юрисовна</w:t>
            </w:r>
          </w:p>
        </w:tc>
        <w:tc>
          <w:tcPr>
            <w:tcW w:w="2250" w:type="pct"/>
            <w:shd w:val="clear" w:color="auto" w:fill="auto"/>
          </w:tcPr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рождения:</w:t>
            </w:r>
            <w:r w:rsidRPr="0085730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1972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Наименование учебного заведения: Московский энергетический институт (Технический университет)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окончания: 1995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Специальность: автоматическое управление электроэнергетическими системами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Наименование учебного заведения: Всероссийская академия внешней торговли Минэкономразвития России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lastRenderedPageBreak/>
              <w:t>Год окончания: 2002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Специальность: мировая экономика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Основное место работы: ОАО «Открытие Холдинг»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Дата начала работы по основному месту работы: 15.03.2011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Должность, занимаемая в настоящее время по основному месту работы: Финансовый директор</w:t>
            </w:r>
          </w:p>
        </w:tc>
        <w:tc>
          <w:tcPr>
            <w:tcW w:w="1220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szCs w:val="20"/>
                <w:lang w:eastAsia="ru-RU"/>
              </w:rPr>
            </w:pPr>
            <w:r w:rsidRPr="00857307">
              <w:rPr>
                <w:szCs w:val="20"/>
                <w:lang w:eastAsia="ru-RU"/>
              </w:rPr>
              <w:lastRenderedPageBreak/>
              <w:t>0,0 (в течение отчетного года доля не менялась)</w:t>
            </w:r>
          </w:p>
        </w:tc>
      </w:tr>
      <w:tr w:rsidR="001A73A4" w:rsidRPr="00857307" w:rsidTr="00720F36">
        <w:tc>
          <w:tcPr>
            <w:tcW w:w="283" w:type="pct"/>
            <w:shd w:val="clear" w:color="auto" w:fill="auto"/>
          </w:tcPr>
          <w:p w:rsidR="001A73A4" w:rsidRPr="00857307" w:rsidDel="00873E37" w:rsidRDefault="001A73A4" w:rsidP="00720F36">
            <w:pPr>
              <w:pStyle w:val="06"/>
              <w:rPr>
                <w:lang w:eastAsia="ru-RU"/>
              </w:rPr>
            </w:pPr>
            <w:r w:rsidRPr="00857307">
              <w:rPr>
                <w:lang w:eastAsia="ru-RU"/>
              </w:rPr>
              <w:lastRenderedPageBreak/>
              <w:t>4</w:t>
            </w:r>
          </w:p>
        </w:tc>
        <w:tc>
          <w:tcPr>
            <w:tcW w:w="1247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bCs/>
                <w:lang w:eastAsia="ru-RU"/>
              </w:rPr>
            </w:pPr>
            <w:r w:rsidRPr="00857307">
              <w:rPr>
                <w:bCs/>
                <w:lang w:eastAsia="ru-RU"/>
              </w:rPr>
              <w:t>Авксентьева Валерия Викторовна</w:t>
            </w:r>
            <w:r w:rsidRPr="00857307" w:rsidDel="003F0836">
              <w:rPr>
                <w:bCs/>
                <w:lang w:eastAsia="ru-RU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</w:tcPr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рождения: 1969   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Наименование учебного заведения: Московский государственный вечерний металлургический институт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окончания: 1996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Специальность: Инженер-экономист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Наименование учебного заведения: Финансовая академия при Правительстве Российской Федерации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окончания: 2002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Специальность: Экономист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Основное место работы: ОАО «Брокерский дом «ОТКРЫТИЕ»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Дата начала работы по основному месту работы: 26.12.2005</w:t>
            </w:r>
          </w:p>
          <w:p w:rsidR="001A73A4" w:rsidRPr="00857307" w:rsidRDefault="001A73A4" w:rsidP="00720F36">
            <w:pPr>
              <w:pStyle w:val="06"/>
              <w:rPr>
                <w:szCs w:val="20"/>
                <w:lang w:eastAsia="ru-RU"/>
              </w:rPr>
            </w:pPr>
            <w:r w:rsidRPr="00857307">
              <w:rPr>
                <w:szCs w:val="20"/>
              </w:rPr>
              <w:t>Должность, занимаемая в настоящее время по основному месту работы: Операционный директор</w:t>
            </w:r>
          </w:p>
        </w:tc>
        <w:tc>
          <w:tcPr>
            <w:tcW w:w="1220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lang w:eastAsia="ru-RU"/>
              </w:rPr>
            </w:pPr>
            <w:r w:rsidRPr="00857307">
              <w:rPr>
                <w:lang w:eastAsia="ru-RU"/>
              </w:rPr>
              <w:t>0,0 (в течение отчетного года доля не менялась)</w:t>
            </w:r>
          </w:p>
        </w:tc>
      </w:tr>
      <w:tr w:rsidR="001A73A4" w:rsidRPr="00857307" w:rsidTr="00720F36">
        <w:tc>
          <w:tcPr>
            <w:tcW w:w="283" w:type="pct"/>
            <w:shd w:val="clear" w:color="auto" w:fill="auto"/>
          </w:tcPr>
          <w:p w:rsidR="001A73A4" w:rsidRPr="00857307" w:rsidDel="00873E37" w:rsidRDefault="001A73A4" w:rsidP="00720F36">
            <w:pPr>
              <w:pStyle w:val="06"/>
              <w:rPr>
                <w:lang w:eastAsia="ru-RU"/>
              </w:rPr>
            </w:pPr>
            <w:r w:rsidRPr="00857307">
              <w:rPr>
                <w:lang w:eastAsia="ru-RU"/>
              </w:rPr>
              <w:t>5</w:t>
            </w:r>
          </w:p>
        </w:tc>
        <w:tc>
          <w:tcPr>
            <w:tcW w:w="1247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bCs/>
                <w:szCs w:val="20"/>
                <w:lang w:eastAsia="ru-RU"/>
              </w:rPr>
            </w:pPr>
            <w:r w:rsidRPr="00857307">
              <w:rPr>
                <w:bCs/>
                <w:szCs w:val="20"/>
                <w:lang w:eastAsia="ru-RU"/>
              </w:rPr>
              <w:t>Минцев Юрий Николаевич</w:t>
            </w:r>
          </w:p>
        </w:tc>
        <w:tc>
          <w:tcPr>
            <w:tcW w:w="2250" w:type="pct"/>
            <w:shd w:val="clear" w:color="auto" w:fill="auto"/>
          </w:tcPr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 xml:space="preserve">Год рождения: </w:t>
            </w:r>
            <w:r w:rsidRPr="00857307">
              <w:rPr>
                <w:rFonts w:ascii="Arial" w:hAnsi="Arial" w:cs="Arial"/>
                <w:sz w:val="20"/>
                <w:szCs w:val="20"/>
                <w:lang w:eastAsia="ru-RU"/>
              </w:rPr>
              <w:t>1972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 xml:space="preserve">Наименование учебного заведения: </w:t>
            </w:r>
            <w:proofErr w:type="spellStart"/>
            <w:r w:rsidRPr="00857307">
              <w:rPr>
                <w:rFonts w:ascii="Arial" w:hAnsi="Arial" w:cs="Arial"/>
                <w:sz w:val="20"/>
                <w:szCs w:val="20"/>
              </w:rPr>
              <w:t>Харбинский</w:t>
            </w:r>
            <w:proofErr w:type="spellEnd"/>
            <w:r w:rsidRPr="00857307">
              <w:rPr>
                <w:rFonts w:ascii="Arial" w:hAnsi="Arial" w:cs="Arial"/>
                <w:sz w:val="20"/>
                <w:szCs w:val="20"/>
              </w:rPr>
              <w:t xml:space="preserve"> институт технологий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окончания: 1994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Специальность: международная торговля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 xml:space="preserve">Наименование учебного заведения: Новосибирский государственный </w:t>
            </w:r>
            <w:r w:rsidRPr="00857307">
              <w:rPr>
                <w:rFonts w:ascii="Arial" w:hAnsi="Arial" w:cs="Arial"/>
                <w:sz w:val="20"/>
                <w:szCs w:val="20"/>
              </w:rPr>
              <w:lastRenderedPageBreak/>
              <w:t>технический университет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окончания: 1996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Специальность: менеджмент; внешнеэкономическая деятельность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Основное место работы: ОАО «Брокерский дом «ОТКРЫТИЕ»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Дата начала работы по основному месту работы: 30.01.2012</w:t>
            </w:r>
          </w:p>
          <w:p w:rsidR="001A73A4" w:rsidRPr="00857307" w:rsidRDefault="001A73A4" w:rsidP="00720F36">
            <w:pPr>
              <w:pStyle w:val="06"/>
              <w:rPr>
                <w:bCs/>
                <w:szCs w:val="20"/>
                <w:lang w:eastAsia="ru-RU"/>
              </w:rPr>
            </w:pPr>
            <w:r w:rsidRPr="00857307">
              <w:rPr>
                <w:szCs w:val="20"/>
              </w:rPr>
              <w:t>Должность, занимаемая в настоящее время по основному месту работы: Генеральный директор</w:t>
            </w:r>
          </w:p>
        </w:tc>
        <w:tc>
          <w:tcPr>
            <w:tcW w:w="1220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szCs w:val="20"/>
                <w:lang w:eastAsia="ru-RU"/>
              </w:rPr>
            </w:pPr>
            <w:r w:rsidRPr="00857307">
              <w:rPr>
                <w:szCs w:val="20"/>
                <w:lang w:eastAsia="ru-RU"/>
              </w:rPr>
              <w:lastRenderedPageBreak/>
              <w:t>0,0 (в течение отчетного года доля не менялась)</w:t>
            </w:r>
          </w:p>
        </w:tc>
      </w:tr>
      <w:tr w:rsidR="001A73A4" w:rsidRPr="00857307" w:rsidTr="00720F36">
        <w:tc>
          <w:tcPr>
            <w:tcW w:w="283" w:type="pct"/>
            <w:shd w:val="clear" w:color="auto" w:fill="auto"/>
          </w:tcPr>
          <w:p w:rsidR="001A73A4" w:rsidRPr="00857307" w:rsidDel="00873E37" w:rsidRDefault="001A73A4" w:rsidP="00720F36">
            <w:pPr>
              <w:pStyle w:val="06"/>
              <w:rPr>
                <w:lang w:eastAsia="ru-RU"/>
              </w:rPr>
            </w:pPr>
            <w:r w:rsidRPr="00857307">
              <w:rPr>
                <w:lang w:eastAsia="ru-RU"/>
              </w:rPr>
              <w:lastRenderedPageBreak/>
              <w:t>6</w:t>
            </w:r>
          </w:p>
        </w:tc>
        <w:tc>
          <w:tcPr>
            <w:tcW w:w="1247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bCs/>
                <w:szCs w:val="20"/>
                <w:lang w:eastAsia="ru-RU"/>
              </w:rPr>
            </w:pPr>
            <w:proofErr w:type="spellStart"/>
            <w:r w:rsidRPr="00857307">
              <w:rPr>
                <w:bCs/>
                <w:szCs w:val="20"/>
                <w:lang w:eastAsia="ru-RU"/>
              </w:rPr>
              <w:t>Карахан</w:t>
            </w:r>
            <w:proofErr w:type="spellEnd"/>
            <w:r w:rsidRPr="00857307">
              <w:rPr>
                <w:bCs/>
                <w:szCs w:val="20"/>
                <w:lang w:eastAsia="ru-RU"/>
              </w:rPr>
              <w:t xml:space="preserve"> Алексей Львович</w:t>
            </w:r>
            <w:r w:rsidRPr="00857307" w:rsidDel="003F0836">
              <w:rPr>
                <w:bCs/>
                <w:szCs w:val="20"/>
                <w:lang w:eastAsia="ru-RU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</w:tcPr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рождения: 1981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Наименование учебного заведения: Московский Государственный университет имени М.В. Ломоносова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окончания: 2003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Специальность: журналистика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Основное место работы: ОАО «Открытие Холдинг»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Дата начала работы по основному месту работы: 29.04.2011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Должность, занимаемая в настоящее время по основному месту работы: Заместитель Генерального директора</w:t>
            </w:r>
            <w:r w:rsidRPr="00857307">
              <w:rPr>
                <w:sz w:val="20"/>
                <w:szCs w:val="20"/>
              </w:rPr>
              <w:t xml:space="preserve">,  Директор </w:t>
            </w:r>
            <w:r w:rsidRPr="00857307">
              <w:rPr>
                <w:rFonts w:ascii="Arial" w:hAnsi="Arial" w:cs="Arial"/>
                <w:sz w:val="20"/>
                <w:szCs w:val="20"/>
                <w:lang w:eastAsia="ru-RU"/>
              </w:rPr>
              <w:t>Департамент</w:t>
            </w:r>
            <w:r w:rsidRPr="00857307">
              <w:rPr>
                <w:sz w:val="20"/>
                <w:szCs w:val="20"/>
                <w:lang w:eastAsia="ru-RU"/>
              </w:rPr>
              <w:t>а</w:t>
            </w:r>
            <w:r w:rsidRPr="0085730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внутренних, внешних и маркетинговых коммуникаций</w:t>
            </w:r>
          </w:p>
          <w:p w:rsidR="001A73A4" w:rsidRPr="00857307" w:rsidRDefault="001A73A4" w:rsidP="00720F36">
            <w:pPr>
              <w:pStyle w:val="06"/>
              <w:rPr>
                <w:szCs w:val="20"/>
                <w:lang w:eastAsia="ru-RU"/>
              </w:rPr>
            </w:pPr>
          </w:p>
        </w:tc>
        <w:tc>
          <w:tcPr>
            <w:tcW w:w="1220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lang w:eastAsia="ru-RU"/>
              </w:rPr>
            </w:pPr>
            <w:r w:rsidRPr="00857307">
              <w:rPr>
                <w:lang w:eastAsia="ru-RU"/>
              </w:rPr>
              <w:t>0,0 (в течение отчетного года доля не менялась)</w:t>
            </w:r>
          </w:p>
        </w:tc>
      </w:tr>
    </w:tbl>
    <w:p w:rsidR="001A73A4" w:rsidRPr="00857307" w:rsidRDefault="001A73A4" w:rsidP="001A73A4">
      <w:pPr>
        <w:pStyle w:val="050"/>
      </w:pPr>
    </w:p>
    <w:p w:rsidR="001A73A4" w:rsidRPr="00EC28F7" w:rsidRDefault="001A73A4" w:rsidP="00EC28F7">
      <w:pPr>
        <w:pStyle w:val="0710"/>
      </w:pPr>
      <w:bookmarkStart w:id="10" w:name="_Toc423027498"/>
      <w:r w:rsidRPr="00EC28F7">
        <w:t>СВЕДЕНИЯ О ЛИЦЕ, ЗАНИМАЮЩЕМ ДОЛЖНОСТЬ ЕДИНОЛИЧНОГО ИСПОЛНИТЕЛЬНОГО ОРГАНА ОБЩЕСТВА</w:t>
      </w:r>
      <w:bookmarkEnd w:id="10"/>
    </w:p>
    <w:p w:rsidR="001A73A4" w:rsidRPr="00260A76" w:rsidRDefault="001A73A4" w:rsidP="00EC28F7">
      <w:pPr>
        <w:pStyle w:val="050"/>
      </w:pPr>
      <w:r w:rsidRPr="00857307">
        <w:t xml:space="preserve">Решением Внеочередного общего собрания акционеров Общества (Протокол № 2014-06-20 от 20.06.2014) досрочно прекращены 23.06.2014 полномочия </w:t>
      </w:r>
      <w:proofErr w:type="spellStart"/>
      <w:r w:rsidRPr="00857307">
        <w:rPr>
          <w:bCs/>
          <w:lang w:eastAsia="ru-RU"/>
        </w:rPr>
        <w:t>Авксентьевой</w:t>
      </w:r>
      <w:proofErr w:type="spellEnd"/>
      <w:r w:rsidRPr="00857307">
        <w:rPr>
          <w:bCs/>
          <w:lang w:eastAsia="ru-RU"/>
        </w:rPr>
        <w:t xml:space="preserve"> Валерии Викторовны</w:t>
      </w:r>
      <w:r w:rsidRPr="00857307" w:rsidDel="003F0836">
        <w:rPr>
          <w:bCs/>
          <w:lang w:eastAsia="ru-RU"/>
        </w:rPr>
        <w:t xml:space="preserve"> </w:t>
      </w:r>
      <w:r w:rsidRPr="00857307">
        <w:t>в должности Генерального директора Общества, избранной Генеральным директором Общества сроком на три года с 02.11.2011 решением Внеочередного общего собрания акционеров Общества (Протокол № 2011-11-01 от 01.11.2011).</w:t>
      </w:r>
    </w:p>
    <w:p w:rsidR="00DA5337" w:rsidRPr="00260A76" w:rsidRDefault="00DA5337" w:rsidP="00EC28F7">
      <w:pPr>
        <w:pStyle w:val="05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387"/>
        <w:gridCol w:w="4307"/>
        <w:gridCol w:w="2335"/>
      </w:tblGrid>
      <w:tr w:rsidR="001A73A4" w:rsidRPr="00857307" w:rsidTr="00720F36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b/>
                <w:lang w:eastAsia="ru-RU"/>
              </w:rPr>
            </w:pPr>
            <w:r w:rsidRPr="00857307">
              <w:rPr>
                <w:b/>
                <w:lang w:eastAsia="ru-RU"/>
              </w:rPr>
              <w:lastRenderedPageBreak/>
              <w:t>№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b/>
                <w:bCs/>
                <w:lang w:eastAsia="ru-RU"/>
              </w:rPr>
            </w:pPr>
            <w:r w:rsidRPr="00857307">
              <w:rPr>
                <w:b/>
                <w:bCs/>
                <w:lang w:eastAsia="ru-RU"/>
              </w:rPr>
              <w:t>Ф.И.О.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A4" w:rsidRPr="00857307" w:rsidRDefault="001A73A4" w:rsidP="00720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307">
              <w:rPr>
                <w:rFonts w:ascii="Arial" w:hAnsi="Arial" w:cs="Arial"/>
                <w:b/>
                <w:sz w:val="20"/>
                <w:szCs w:val="20"/>
              </w:rPr>
              <w:t>Краткие биографические данные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b/>
                <w:lang w:eastAsia="ru-RU"/>
              </w:rPr>
            </w:pPr>
            <w:r w:rsidRPr="00857307">
              <w:rPr>
                <w:b/>
                <w:lang w:eastAsia="ru-RU"/>
              </w:rPr>
              <w:t>Сведения о владении акциями, % от уставного капитала</w:t>
            </w:r>
          </w:p>
        </w:tc>
      </w:tr>
      <w:tr w:rsidR="001A73A4" w:rsidRPr="00857307" w:rsidTr="00720F36">
        <w:tc>
          <w:tcPr>
            <w:tcW w:w="283" w:type="pct"/>
            <w:shd w:val="clear" w:color="auto" w:fill="auto"/>
          </w:tcPr>
          <w:p w:rsidR="001A73A4" w:rsidRPr="00857307" w:rsidDel="00873E37" w:rsidRDefault="001A73A4" w:rsidP="00720F36">
            <w:pPr>
              <w:pStyle w:val="06"/>
              <w:rPr>
                <w:lang w:eastAsia="ru-RU"/>
              </w:rPr>
            </w:pPr>
            <w:r w:rsidRPr="00857307">
              <w:rPr>
                <w:lang w:eastAsia="ru-RU"/>
              </w:rPr>
              <w:t>1</w:t>
            </w:r>
          </w:p>
        </w:tc>
        <w:tc>
          <w:tcPr>
            <w:tcW w:w="1247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bCs/>
                <w:lang w:eastAsia="ru-RU"/>
              </w:rPr>
            </w:pPr>
            <w:r w:rsidRPr="00857307">
              <w:rPr>
                <w:bCs/>
                <w:lang w:eastAsia="ru-RU"/>
              </w:rPr>
              <w:t>Авксентьева Валерия Викторовна</w:t>
            </w:r>
            <w:r w:rsidRPr="00857307" w:rsidDel="003F0836">
              <w:rPr>
                <w:bCs/>
                <w:lang w:eastAsia="ru-RU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</w:tcPr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рождения: 1969   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Наименование учебного заведения: Московский государственный вечерний металлургический институт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окончания: 1996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Специальность: Инженер-экономист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Наименование учебного заведения: Финансовая академия при Правительстве Российской Федерации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окончания: 2002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Специальность: Экономист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Основное место работы: ОАО «Брокерский дом «ОТКРЫТИЕ»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Дата начала работы по основному месту работы: 26.12.2005</w:t>
            </w:r>
          </w:p>
          <w:p w:rsidR="001A73A4" w:rsidRPr="00857307" w:rsidRDefault="001A73A4" w:rsidP="00720F36">
            <w:pPr>
              <w:pStyle w:val="06"/>
              <w:rPr>
                <w:szCs w:val="20"/>
                <w:lang w:eastAsia="ru-RU"/>
              </w:rPr>
            </w:pPr>
            <w:r w:rsidRPr="00857307">
              <w:rPr>
                <w:szCs w:val="20"/>
              </w:rPr>
              <w:t>Должность, занимаемая в настоящее время по основному месту работы: Операционный директор</w:t>
            </w:r>
          </w:p>
        </w:tc>
        <w:tc>
          <w:tcPr>
            <w:tcW w:w="1220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lang w:eastAsia="ru-RU"/>
              </w:rPr>
            </w:pPr>
            <w:r w:rsidRPr="00857307">
              <w:rPr>
                <w:lang w:eastAsia="ru-RU"/>
              </w:rPr>
              <w:t>0,0 (в течение отчетного года доля не менялась)</w:t>
            </w:r>
          </w:p>
        </w:tc>
      </w:tr>
    </w:tbl>
    <w:p w:rsidR="001A73A4" w:rsidRPr="00857307" w:rsidRDefault="001A73A4" w:rsidP="001A73A4">
      <w:pPr>
        <w:pStyle w:val="0710"/>
        <w:numPr>
          <w:ilvl w:val="0"/>
          <w:numId w:val="0"/>
        </w:numPr>
      </w:pPr>
    </w:p>
    <w:p w:rsidR="001A73A4" w:rsidRPr="00857307" w:rsidRDefault="001A73A4" w:rsidP="00EC28F7">
      <w:pPr>
        <w:pStyle w:val="050"/>
      </w:pPr>
      <w:r w:rsidRPr="00857307">
        <w:t xml:space="preserve">Решением Внеочередного общего собрания акционеров Общества (Протокол № 2014-06-20 от 20.06.2014) Генеральным директором Общества с 24.06.2014 сроком на три года избран Минцев Юрий Николаевич.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541"/>
        <w:gridCol w:w="2387"/>
        <w:gridCol w:w="4307"/>
        <w:gridCol w:w="2335"/>
      </w:tblGrid>
      <w:tr w:rsidR="001A73A4" w:rsidRPr="00857307" w:rsidTr="00720F36">
        <w:trPr>
          <w:tblHeader/>
        </w:trPr>
        <w:tc>
          <w:tcPr>
            <w:tcW w:w="283" w:type="pct"/>
            <w:shd w:val="clear" w:color="auto" w:fill="auto"/>
            <w:vAlign w:val="center"/>
          </w:tcPr>
          <w:p w:rsidR="001A73A4" w:rsidRPr="00857307" w:rsidRDefault="001A73A4" w:rsidP="00720F36">
            <w:pPr>
              <w:pStyle w:val="06"/>
              <w:jc w:val="center"/>
              <w:rPr>
                <w:b/>
              </w:rPr>
            </w:pPr>
            <w:r w:rsidRPr="00857307">
              <w:rPr>
                <w:b/>
              </w:rPr>
              <w:t>№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A73A4" w:rsidRPr="00857307" w:rsidRDefault="001A73A4" w:rsidP="00720F36">
            <w:pPr>
              <w:pStyle w:val="06"/>
              <w:jc w:val="center"/>
              <w:rPr>
                <w:b/>
              </w:rPr>
            </w:pPr>
            <w:r w:rsidRPr="00857307">
              <w:rPr>
                <w:b/>
              </w:rPr>
              <w:t>Ф.И.О.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1A73A4" w:rsidRPr="00857307" w:rsidRDefault="001A73A4" w:rsidP="00720F36">
            <w:pPr>
              <w:pStyle w:val="06"/>
              <w:jc w:val="center"/>
              <w:rPr>
                <w:b/>
              </w:rPr>
            </w:pPr>
            <w:r w:rsidRPr="00857307">
              <w:rPr>
                <w:b/>
              </w:rPr>
              <w:t>Краткие биографические данные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1A73A4" w:rsidRPr="00857307" w:rsidRDefault="001A73A4" w:rsidP="00720F36">
            <w:pPr>
              <w:pStyle w:val="06"/>
              <w:jc w:val="center"/>
              <w:rPr>
                <w:b/>
              </w:rPr>
            </w:pPr>
            <w:r w:rsidRPr="00857307">
              <w:rPr>
                <w:b/>
              </w:rPr>
              <w:t>Сведения о владении акциями, % от уставного капитала</w:t>
            </w:r>
          </w:p>
        </w:tc>
      </w:tr>
      <w:tr w:rsidR="001A73A4" w:rsidRPr="00857307" w:rsidTr="00720F36">
        <w:tc>
          <w:tcPr>
            <w:tcW w:w="283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lang w:eastAsia="ru-RU"/>
              </w:rPr>
            </w:pPr>
            <w:r w:rsidRPr="00857307">
              <w:rPr>
                <w:lang w:eastAsia="ru-RU"/>
              </w:rPr>
              <w:t>1</w:t>
            </w:r>
          </w:p>
        </w:tc>
        <w:tc>
          <w:tcPr>
            <w:tcW w:w="1247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bCs/>
                <w:lang w:eastAsia="ru-RU"/>
              </w:rPr>
            </w:pPr>
            <w:r w:rsidRPr="00857307">
              <w:rPr>
                <w:bCs/>
                <w:lang w:eastAsia="ru-RU"/>
              </w:rPr>
              <w:t>Минцев Юрий Николаевич</w:t>
            </w:r>
          </w:p>
        </w:tc>
        <w:tc>
          <w:tcPr>
            <w:tcW w:w="2250" w:type="pct"/>
            <w:shd w:val="clear" w:color="auto" w:fill="auto"/>
          </w:tcPr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 xml:space="preserve">Год рождения: </w:t>
            </w:r>
            <w:r w:rsidRPr="00857307">
              <w:rPr>
                <w:rFonts w:ascii="Arial" w:hAnsi="Arial" w:cs="Arial"/>
                <w:sz w:val="20"/>
                <w:szCs w:val="20"/>
                <w:lang w:eastAsia="ru-RU"/>
              </w:rPr>
              <w:t>1972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 xml:space="preserve">Наименование учебного заведения: </w:t>
            </w:r>
            <w:proofErr w:type="spellStart"/>
            <w:r w:rsidRPr="00857307">
              <w:rPr>
                <w:rFonts w:ascii="Arial" w:hAnsi="Arial" w:cs="Arial"/>
                <w:sz w:val="20"/>
                <w:szCs w:val="20"/>
              </w:rPr>
              <w:t>Харбинский</w:t>
            </w:r>
            <w:proofErr w:type="spellEnd"/>
            <w:r w:rsidRPr="00857307">
              <w:rPr>
                <w:rFonts w:ascii="Arial" w:hAnsi="Arial" w:cs="Arial"/>
                <w:sz w:val="20"/>
                <w:szCs w:val="20"/>
              </w:rPr>
              <w:t xml:space="preserve"> институт технологий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окончания: 1994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Специальность: международная торговля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Наименование учебного заведения: Новосибирский государственный технический университет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Год окончания: 1996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 xml:space="preserve">Специальность: менеджмент; </w:t>
            </w:r>
            <w:r w:rsidRPr="00857307">
              <w:rPr>
                <w:rFonts w:ascii="Arial" w:hAnsi="Arial" w:cs="Arial"/>
                <w:sz w:val="20"/>
                <w:szCs w:val="20"/>
              </w:rPr>
              <w:lastRenderedPageBreak/>
              <w:t>внешнеэкономическая деятельность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Основное место работы: ОАО «Брокерский дом «ОТКРЫТИЕ»</w:t>
            </w:r>
          </w:p>
          <w:p w:rsidR="001A73A4" w:rsidRPr="00857307" w:rsidRDefault="001A73A4" w:rsidP="00720F36">
            <w:pPr>
              <w:rPr>
                <w:rFonts w:ascii="Arial" w:hAnsi="Arial" w:cs="Arial"/>
                <w:sz w:val="20"/>
                <w:szCs w:val="20"/>
              </w:rPr>
            </w:pPr>
            <w:r w:rsidRPr="00857307">
              <w:rPr>
                <w:rFonts w:ascii="Arial" w:hAnsi="Arial" w:cs="Arial"/>
                <w:sz w:val="20"/>
                <w:szCs w:val="20"/>
              </w:rPr>
              <w:t>Дата начала работы по основному месту работы: 30.01.2012</w:t>
            </w:r>
          </w:p>
          <w:p w:rsidR="001A73A4" w:rsidRPr="00857307" w:rsidRDefault="001A73A4" w:rsidP="00720F36">
            <w:pPr>
              <w:pStyle w:val="06"/>
              <w:rPr>
                <w:lang w:eastAsia="ru-RU"/>
              </w:rPr>
            </w:pPr>
            <w:r w:rsidRPr="00857307">
              <w:rPr>
                <w:szCs w:val="20"/>
              </w:rPr>
              <w:t>Должность, занимаемая в настоящее время по основному месту работы: Генеральный директор</w:t>
            </w:r>
          </w:p>
        </w:tc>
        <w:tc>
          <w:tcPr>
            <w:tcW w:w="1220" w:type="pct"/>
            <w:shd w:val="clear" w:color="auto" w:fill="auto"/>
          </w:tcPr>
          <w:p w:rsidR="001A73A4" w:rsidRPr="00857307" w:rsidRDefault="001A73A4" w:rsidP="00720F36">
            <w:pPr>
              <w:pStyle w:val="06"/>
              <w:rPr>
                <w:lang w:eastAsia="ru-RU"/>
              </w:rPr>
            </w:pPr>
            <w:r w:rsidRPr="00857307">
              <w:rPr>
                <w:lang w:eastAsia="ru-RU"/>
              </w:rPr>
              <w:lastRenderedPageBreak/>
              <w:t>0,0 (в течение отчетного года доля не менялась)</w:t>
            </w:r>
          </w:p>
        </w:tc>
      </w:tr>
    </w:tbl>
    <w:p w:rsidR="001A73A4" w:rsidRPr="00857307" w:rsidRDefault="001A73A4" w:rsidP="00EC28F7">
      <w:pPr>
        <w:pStyle w:val="06"/>
      </w:pPr>
    </w:p>
    <w:p w:rsidR="001A73A4" w:rsidRPr="00EC28F7" w:rsidRDefault="001A73A4" w:rsidP="00EC28F7">
      <w:pPr>
        <w:pStyle w:val="0710"/>
      </w:pPr>
      <w:r w:rsidRPr="00EC28F7">
        <w:t xml:space="preserve"> </w:t>
      </w:r>
      <w:bookmarkStart w:id="11" w:name="_Toc423027499"/>
      <w:r w:rsidRPr="00EC28F7">
        <w:t>ОСНОВНЫЕ ПОЛОЖЕНИЯ ВНУТРЕННЕГО ДОКУМЕНТА ОБЩЕСТВА В ОБЛАСТИ ВОЗНАГРАЖДЕНИЯ И (ИЛИ) КОМПЕНСАЦИИ РАСХОДОВ</w:t>
      </w:r>
      <w:bookmarkEnd w:id="11"/>
    </w:p>
    <w:p w:rsidR="001A73A4" w:rsidRPr="00857307" w:rsidRDefault="001A73A4" w:rsidP="00EC28F7">
      <w:pPr>
        <w:pStyle w:val="050"/>
      </w:pPr>
      <w:r w:rsidRPr="00857307">
        <w:t xml:space="preserve">За отчетный период работникам Общества, входившим в состав Совета директоров Общества (за исключением физического лица, занимавшего должность Генерального директора Общества), начислена заработная плата в размере: 9 695 948.05 руб. (в </w:t>
      </w:r>
      <w:proofErr w:type="spellStart"/>
      <w:r w:rsidRPr="00857307">
        <w:t>т.ч</w:t>
      </w:r>
      <w:proofErr w:type="spellEnd"/>
      <w:r w:rsidRPr="00857307">
        <w:t xml:space="preserve">. 627 000 руб. – премия).  </w:t>
      </w:r>
    </w:p>
    <w:p w:rsidR="001A73A4" w:rsidRPr="00857307" w:rsidRDefault="001A73A4" w:rsidP="00EC28F7">
      <w:pPr>
        <w:pStyle w:val="050"/>
      </w:pPr>
      <w:r w:rsidRPr="00857307">
        <w:t>Членам Совета директоров Общества вознаграждение не выплачивалось.</w:t>
      </w:r>
    </w:p>
    <w:p w:rsidR="001A73A4" w:rsidRPr="00EC28F7" w:rsidRDefault="001A73A4" w:rsidP="00EC28F7">
      <w:pPr>
        <w:pStyle w:val="0710"/>
      </w:pPr>
      <w:bookmarkStart w:id="12" w:name="_Toc423027500"/>
      <w:r w:rsidRPr="00EC28F7">
        <w:t>СВЕДЕНИЯ О СОБЛЮДЕНИИ ОБЩЕСТВОМ КОДЕКСА КОРПОРАТИВНОГО УПРАВЛЕНИЯ, РЕКОМЕНДОВАННОГО К ПРИМЕНЕНИЮ БАНКОМ РОССИИ</w:t>
      </w:r>
      <w:bookmarkEnd w:id="12"/>
      <w:r w:rsidRPr="00EC28F7">
        <w:t xml:space="preserve"> </w:t>
      </w:r>
    </w:p>
    <w:p w:rsidR="001A73A4" w:rsidRPr="00EC28F7" w:rsidRDefault="001A73A4" w:rsidP="00EC28F7">
      <w:pPr>
        <w:pStyle w:val="050"/>
      </w:pPr>
      <w:r w:rsidRPr="00EC28F7">
        <w:t>Общество в своей деятельности руководствуется принципами, установленными международными актами, нормативно-правовыми актами Российской Федерации, требованиями, изложенными в Кодексе корпоративного управления, одобренном 21 марта 2014 года Советом директоров Банка России.</w:t>
      </w:r>
    </w:p>
    <w:p w:rsidR="001A73A4" w:rsidRPr="00EC28F7" w:rsidRDefault="001A73A4" w:rsidP="00EC28F7">
      <w:pPr>
        <w:pStyle w:val="050"/>
      </w:pPr>
      <w:r w:rsidRPr="00EC28F7">
        <w:t>Корпоративное управление в Обществе основано на уважении прав и законных интересов его акционеров и способствует эффективной деятельности Общества, в том числе увеличению стоимости активов Общества, созданию рабочих мест и поддержанию финансовой стабильности и прибыльности Общества.</w:t>
      </w:r>
    </w:p>
    <w:p w:rsidR="001A73A4" w:rsidRPr="00EC28F7" w:rsidRDefault="001A73A4" w:rsidP="00EC28F7">
      <w:pPr>
        <w:pStyle w:val="050"/>
      </w:pPr>
      <w:r w:rsidRPr="00EC28F7">
        <w:t xml:space="preserve">Принятая в Обществе практика корпоративного управления обеспечивает равное отношение к акционерам. Все акционеры имеют возможность получать эффективную защиту в случае нарушения их прав. </w:t>
      </w:r>
    </w:p>
    <w:p w:rsidR="001A73A4" w:rsidRPr="00EC28F7" w:rsidRDefault="001A73A4" w:rsidP="00EC28F7">
      <w:pPr>
        <w:pStyle w:val="050"/>
      </w:pPr>
      <w:r w:rsidRPr="00EC28F7">
        <w:t>Органы управления Общества содействуют заинтересованности своих работников в эффективной работе.</w:t>
      </w:r>
    </w:p>
    <w:p w:rsidR="001A73A4" w:rsidRPr="00EC28F7" w:rsidRDefault="001A73A4" w:rsidP="00EC28F7">
      <w:pPr>
        <w:pStyle w:val="050"/>
      </w:pPr>
      <w:r w:rsidRPr="00EC28F7">
        <w:t xml:space="preserve">Практика корпоративного управления в Обществе обеспечивает эффективный контроль финансово-хозяйственной деятельности Общества с целью защиты прав и законных интересов акционеров. </w:t>
      </w:r>
    </w:p>
    <w:p w:rsidR="001A73A4" w:rsidRPr="00EC28F7" w:rsidRDefault="001A73A4" w:rsidP="00EC28F7">
      <w:pPr>
        <w:pStyle w:val="050"/>
      </w:pPr>
      <w:r w:rsidRPr="00EC28F7">
        <w:t>При осуществлении деятельности Общество соблюдает (частично соблюдает) положения Кодекса корпоративного управления, рекомендованного к применению Банком России, в том числе касательно:</w:t>
      </w:r>
    </w:p>
    <w:p w:rsidR="001A73A4" w:rsidRPr="00857307" w:rsidRDefault="001A73A4" w:rsidP="00EC28F7">
      <w:pPr>
        <w:pStyle w:val="08"/>
      </w:pPr>
      <w:r w:rsidRPr="00857307">
        <w:t xml:space="preserve">созыва, проведения общего собрания акционеров Общества (далее – «ОСА»), утверждения повестки дня ОСА, участия акционеров в принятии решений </w:t>
      </w:r>
      <w:proofErr w:type="gramStart"/>
      <w:r w:rsidRPr="00857307">
        <w:t>на</w:t>
      </w:r>
      <w:proofErr w:type="gramEnd"/>
      <w:r w:rsidRPr="00857307">
        <w:t xml:space="preserve"> </w:t>
      </w:r>
      <w:proofErr w:type="gramStart"/>
      <w:r w:rsidRPr="00857307">
        <w:t>ОСА</w:t>
      </w:r>
      <w:proofErr w:type="gramEnd"/>
      <w:r w:rsidRPr="00857307">
        <w:t xml:space="preserve">, в том числе по вопросам ознакомления акционеров с информацией (материалами), подлежащими </w:t>
      </w:r>
      <w:r w:rsidRPr="00857307">
        <w:lastRenderedPageBreak/>
        <w:t>предоставлению при подготовке к ОСА, и возможности внесения вопросов в повестку дня ОСА;</w:t>
      </w:r>
    </w:p>
    <w:p w:rsidR="001A73A4" w:rsidRPr="00857307" w:rsidRDefault="001A73A4" w:rsidP="00EC28F7">
      <w:pPr>
        <w:pStyle w:val="08"/>
      </w:pPr>
      <w:r w:rsidRPr="00857307">
        <w:t>обязательного раскрытия информации Обществом как акционерным обществом, на которое в соответствии с действующим законодательством Российской Федерации не распространяются требования о раскрытии информации в форме ежеквартального отчета и сообщений о существенных фактах;</w:t>
      </w:r>
    </w:p>
    <w:p w:rsidR="001A73A4" w:rsidRPr="00857307" w:rsidRDefault="001A73A4" w:rsidP="00EC28F7">
      <w:pPr>
        <w:pStyle w:val="08"/>
      </w:pPr>
      <w:r w:rsidRPr="00857307">
        <w:t>формирования Совета директоров и осуществления Советом директоров Общества своей деятельности, в том числе по требованиям, предъявляемым к членам Совета директоров, в соответствии с действующим законодательством Российской Федерации;</w:t>
      </w:r>
    </w:p>
    <w:p w:rsidR="001A73A4" w:rsidRPr="00857307" w:rsidRDefault="001A73A4" w:rsidP="00EC28F7">
      <w:pPr>
        <w:pStyle w:val="08"/>
      </w:pPr>
      <w:proofErr w:type="gramStart"/>
      <w:r w:rsidRPr="00857307">
        <w:t>наличия единоличного исполнительного органа (генерального директора), не  являющегося участником (акционером), генеральным директором (управляющим), членом органа управления или работником юридического лица, конкурирующего с Обществом, а также лицом, которое признавалось виновным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</w:t>
      </w:r>
      <w:r w:rsidR="00B56BE9">
        <w:t>,</w:t>
      </w:r>
      <w:r w:rsidRPr="00857307">
        <w:t xml:space="preserve"> или к которым применялись административные наказания за правонарушения в области</w:t>
      </w:r>
      <w:proofErr w:type="gramEnd"/>
      <w:r w:rsidRPr="00857307">
        <w:t xml:space="preserve"> предпринимательской деятельности или в области финансов, налогов и сборов, рынка ценных бумаг;</w:t>
      </w:r>
    </w:p>
    <w:p w:rsidR="001A73A4" w:rsidRPr="00857307" w:rsidRDefault="001A73A4" w:rsidP="00EC28F7">
      <w:pPr>
        <w:pStyle w:val="08"/>
      </w:pPr>
      <w:proofErr w:type="gramStart"/>
      <w:r w:rsidRPr="00857307">
        <w:t>контроля за</w:t>
      </w:r>
      <w:proofErr w:type="gramEnd"/>
      <w:r w:rsidRPr="00857307">
        <w:t xml:space="preserve"> соблюдением порядка одобрения крупных сделок, включая привлечение независимого оценщика для оценки рыночной стоимости имущества, являющегося предметом крупной сделки, в случаях, предусмотренных действующим законодательством Российской Федерации;</w:t>
      </w:r>
    </w:p>
    <w:p w:rsidR="001A73A4" w:rsidRPr="00857307" w:rsidRDefault="001A73A4" w:rsidP="00EC28F7">
      <w:pPr>
        <w:pStyle w:val="08"/>
      </w:pPr>
      <w:r w:rsidRPr="00857307">
        <w:t xml:space="preserve">осуществления внутреннего </w:t>
      </w:r>
      <w:proofErr w:type="gramStart"/>
      <w:r w:rsidRPr="00857307">
        <w:t>контроля за</w:t>
      </w:r>
      <w:proofErr w:type="gramEnd"/>
      <w:r w:rsidRPr="00857307">
        <w:t xml:space="preserve"> финансово-хозяйственной деятельностью Общества со стороны Ревизионной комиссии (Ревизора) Общества, члены которой соответствуют требованиям, предъявляемым к лицам, входящим в состав контрольно-ревизионной службы Общества, в соответствии с положениями действующего законодательства Российской Федерации.</w:t>
      </w:r>
    </w:p>
    <w:p w:rsidR="001A73A4" w:rsidRPr="00857307" w:rsidRDefault="001A73A4" w:rsidP="001A73A4">
      <w:pPr>
        <w:pStyle w:val="050"/>
        <w:jc w:val="both"/>
      </w:pPr>
      <w:r w:rsidRPr="00857307">
        <w:t>В текущем 201</w:t>
      </w:r>
      <w:r w:rsidR="00EC28F7" w:rsidRPr="0060285E">
        <w:t>5</w:t>
      </w:r>
      <w:r w:rsidRPr="00857307">
        <w:t xml:space="preserve"> году Общество планомерно стремится улучшать корпоративную культуру во всех сферах своей деятельности, интегрируя положения Кодекса корпоративного управления, рекомендованного к применению Банком России, во внутренние документы Общества, что должно позволить в будущем обеспечить существенное повышение качества корпоративного управления в Обществе и взаимодействия </w:t>
      </w:r>
      <w:bookmarkStart w:id="13" w:name="_GoBack"/>
      <w:bookmarkEnd w:id="13"/>
      <w:r w:rsidRPr="00857307">
        <w:t>между подразделениями Общества.</w:t>
      </w:r>
    </w:p>
    <w:p w:rsidR="001A73A4" w:rsidRPr="00857307" w:rsidRDefault="001A73A4" w:rsidP="001A73A4">
      <w:pPr>
        <w:pStyle w:val="0710"/>
        <w:numPr>
          <w:ilvl w:val="0"/>
          <w:numId w:val="0"/>
        </w:numPr>
      </w:pPr>
      <w:bookmarkStart w:id="14" w:name="_Toc423027501"/>
      <w:r w:rsidRPr="00857307">
        <w:t>14. ИНАЯ ИНФОРМАЦИЯ, ПРЕДУСМОТРЕННАЯ УСТАВОМ ИЛИ ИНЫМ ВНУТРЕННИМ ДОКУМЕНТОМ ОБЩЕСТВА</w:t>
      </w:r>
      <w:bookmarkEnd w:id="14"/>
    </w:p>
    <w:p w:rsidR="001A73A4" w:rsidRPr="00EC28F7" w:rsidRDefault="001A73A4" w:rsidP="00EC28F7">
      <w:pPr>
        <w:pStyle w:val="050"/>
      </w:pPr>
      <w:r w:rsidRPr="00EC28F7">
        <w:t>Иная информация, подлежащая включению в годовой отчет о деятельности Общества, Уставом или иным внутренним документом Общества не предусмотрена.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2250"/>
        <w:gridCol w:w="2513"/>
      </w:tblGrid>
      <w:tr w:rsidR="001A73A4" w:rsidRPr="00857307" w:rsidTr="00720F36">
        <w:trPr>
          <w:trHeight w:val="1304"/>
        </w:trPr>
        <w:tc>
          <w:tcPr>
            <w:tcW w:w="4807" w:type="dxa"/>
            <w:shd w:val="clear" w:color="auto" w:fill="auto"/>
            <w:vAlign w:val="bottom"/>
          </w:tcPr>
          <w:p w:rsidR="001A73A4" w:rsidRPr="00857307" w:rsidRDefault="001A73A4" w:rsidP="00720F36">
            <w:pPr>
              <w:pStyle w:val="06"/>
            </w:pPr>
            <w:r w:rsidRPr="00857307">
              <w:t>Генеральный директор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73A4" w:rsidRPr="00857307" w:rsidRDefault="00FF1F66" w:rsidP="00FF1F66">
            <w:pPr>
              <w:pStyle w:val="06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3" w:type="dxa"/>
            <w:shd w:val="clear" w:color="auto" w:fill="auto"/>
            <w:vAlign w:val="bottom"/>
          </w:tcPr>
          <w:p w:rsidR="001A73A4" w:rsidRPr="00857307" w:rsidRDefault="001A73A4" w:rsidP="00720F36">
            <w:pPr>
              <w:pStyle w:val="06"/>
            </w:pPr>
            <w:r w:rsidRPr="00857307">
              <w:t>Ю.Н. Минцев</w:t>
            </w:r>
          </w:p>
        </w:tc>
      </w:tr>
      <w:tr w:rsidR="001A73A4" w:rsidRPr="00857307" w:rsidTr="00720F36">
        <w:trPr>
          <w:trHeight w:val="1304"/>
        </w:trPr>
        <w:tc>
          <w:tcPr>
            <w:tcW w:w="4807" w:type="dxa"/>
            <w:shd w:val="clear" w:color="auto" w:fill="auto"/>
            <w:vAlign w:val="bottom"/>
          </w:tcPr>
          <w:p w:rsidR="001A73A4" w:rsidRPr="00857307" w:rsidRDefault="001A73A4" w:rsidP="00720F36">
            <w:pPr>
              <w:pStyle w:val="06"/>
            </w:pPr>
            <w:r w:rsidRPr="00857307">
              <w:t>Главный бухгалтер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73A4" w:rsidRPr="00857307" w:rsidRDefault="00FF1F66" w:rsidP="00FF1F66">
            <w:pPr>
              <w:pStyle w:val="06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3" w:type="dxa"/>
            <w:shd w:val="clear" w:color="auto" w:fill="auto"/>
            <w:vAlign w:val="bottom"/>
          </w:tcPr>
          <w:p w:rsidR="001A73A4" w:rsidRPr="00857307" w:rsidRDefault="001A73A4" w:rsidP="00720F36">
            <w:pPr>
              <w:pStyle w:val="06"/>
            </w:pPr>
            <w:r w:rsidRPr="00857307">
              <w:t>Т.В. Делижанова</w:t>
            </w:r>
          </w:p>
        </w:tc>
      </w:tr>
    </w:tbl>
    <w:p w:rsidR="00DA60A3" w:rsidRPr="00DA60A3" w:rsidRDefault="00DA60A3" w:rsidP="00EC28F7">
      <w:pPr>
        <w:pStyle w:val="aff"/>
      </w:pPr>
    </w:p>
    <w:sectPr w:rsidR="00DA60A3" w:rsidRPr="00DA60A3" w:rsidSect="006A6A96">
      <w:headerReference w:type="default" r:id="rId35"/>
      <w:footerReference w:type="default" r:id="rId36"/>
      <w:headerReference w:type="first" r:id="rId37"/>
      <w:footerReference w:type="first" r:id="rId38"/>
      <w:pgSz w:w="11906" w:h="16838" w:code="9"/>
      <w:pgMar w:top="1134" w:right="851" w:bottom="964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FA" w:rsidRDefault="00F014FA" w:rsidP="00282E3F">
      <w:pPr>
        <w:spacing w:after="0" w:line="240" w:lineRule="auto"/>
      </w:pPr>
      <w:r>
        <w:separator/>
      </w:r>
    </w:p>
  </w:endnote>
  <w:endnote w:type="continuationSeparator" w:id="0">
    <w:p w:rsidR="00F014FA" w:rsidRDefault="00F014FA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EB" w:rsidRDefault="003654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E4" w:rsidRPr="00E600C9" w:rsidRDefault="000E3FE4" w:rsidP="00E600C9">
    <w:pPr>
      <w:pStyle w:val="a9"/>
      <w:tabs>
        <w:tab w:val="clear" w:pos="4677"/>
        <w:tab w:val="clear" w:pos="9355"/>
      </w:tabs>
      <w:spacing w:after="0" w:line="240" w:lineRule="auto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E4" w:rsidRPr="006F68CC" w:rsidRDefault="000E3FE4" w:rsidP="00E600C9">
    <w:pPr>
      <w:pStyle w:val="a9"/>
      <w:tabs>
        <w:tab w:val="clear" w:pos="4677"/>
        <w:tab w:val="clear" w:pos="9355"/>
      </w:tabs>
      <w:spacing w:after="0" w:line="240" w:lineRule="auto"/>
      <w:rPr>
        <w:rFonts w:ascii="Arial" w:hAnsi="Arial" w:cs="Arial"/>
        <w:sz w:val="14"/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E4" w:rsidRDefault="000E3FE4" w:rsidP="006A6A96">
    <w:pPr>
      <w:pStyle w:val="ID"/>
    </w:pPr>
  </w:p>
  <w:tbl>
    <w:tblPr>
      <w:tblpPr w:leftFromText="180" w:rightFromText="180" w:vertAnchor="text" w:tblpY="1"/>
      <w:tblOverlap w:val="never"/>
      <w:tblW w:w="0" w:type="auto"/>
      <w:tblBorders>
        <w:top w:val="single" w:sz="6" w:space="0" w:color="000000"/>
      </w:tblBorders>
      <w:tblLook w:val="04A0" w:firstRow="1" w:lastRow="0" w:firstColumn="1" w:lastColumn="0" w:noHBand="0" w:noVBand="1"/>
    </w:tblPr>
    <w:tblGrid>
      <w:gridCol w:w="8330"/>
      <w:gridCol w:w="1132"/>
    </w:tblGrid>
    <w:tr w:rsidR="000E3FE4" w:rsidRPr="006A6A96" w:rsidTr="006A6A96">
      <w:tc>
        <w:tcPr>
          <w:tcW w:w="8330" w:type="dxa"/>
          <w:tcBorders>
            <w:top w:val="single" w:sz="4" w:space="0" w:color="58595B"/>
          </w:tcBorders>
          <w:shd w:val="clear" w:color="auto" w:fill="auto"/>
        </w:tcPr>
        <w:p w:rsidR="000E3FE4" w:rsidRPr="006A6A96" w:rsidRDefault="000E3FE4" w:rsidP="00255004">
          <w:pPr>
            <w:tabs>
              <w:tab w:val="center" w:pos="4153"/>
              <w:tab w:val="right" w:pos="8306"/>
            </w:tabs>
            <w:spacing w:before="60" w:after="0" w:line="240" w:lineRule="auto"/>
            <w:ind w:left="-113"/>
            <w:rPr>
              <w:rFonts w:ascii="Arial" w:eastAsia="Times New Roman" w:hAnsi="Arial" w:cs="Arial"/>
              <w:snapToGrid w:val="0"/>
              <w:color w:val="58595B"/>
              <w:sz w:val="16"/>
              <w:szCs w:val="16"/>
              <w:lang w:eastAsia="ru-RU"/>
            </w:rPr>
          </w:pPr>
          <w:r w:rsidRPr="006A6A96">
            <w:rPr>
              <w:rFonts w:ascii="Arial" w:hAnsi="Arial" w:cs="Arial"/>
              <w:color w:val="58595B"/>
              <w:sz w:val="18"/>
              <w:szCs w:val="18"/>
            </w:rPr>
            <w:t>Годовой отчет ОАО «Брокерский дом «ОТКРЫТИЕ» за 201</w:t>
          </w:r>
          <w:r w:rsidRPr="00255004">
            <w:rPr>
              <w:rFonts w:ascii="Arial" w:hAnsi="Arial" w:cs="Arial"/>
              <w:color w:val="58595B"/>
              <w:sz w:val="18"/>
              <w:szCs w:val="18"/>
            </w:rPr>
            <w:t>4</w:t>
          </w:r>
          <w:r w:rsidRPr="006A6A96">
            <w:rPr>
              <w:rFonts w:ascii="Arial" w:hAnsi="Arial" w:cs="Arial"/>
              <w:color w:val="58595B"/>
              <w:sz w:val="18"/>
              <w:szCs w:val="18"/>
            </w:rPr>
            <w:t xml:space="preserve"> год</w:t>
          </w:r>
        </w:p>
      </w:tc>
      <w:tc>
        <w:tcPr>
          <w:tcW w:w="1132" w:type="dxa"/>
          <w:tcBorders>
            <w:top w:val="single" w:sz="4" w:space="0" w:color="58595B"/>
          </w:tcBorders>
          <w:shd w:val="clear" w:color="auto" w:fill="auto"/>
        </w:tcPr>
        <w:p w:rsidR="000E3FE4" w:rsidRPr="006A6A96" w:rsidRDefault="000E3FE4" w:rsidP="006A6A96">
          <w:pPr>
            <w:tabs>
              <w:tab w:val="center" w:pos="4153"/>
              <w:tab w:val="right" w:pos="8306"/>
            </w:tabs>
            <w:spacing w:before="60" w:after="0" w:line="240" w:lineRule="auto"/>
            <w:ind w:right="-85"/>
            <w:jc w:val="right"/>
            <w:rPr>
              <w:rFonts w:ascii="Arial" w:eastAsia="Times New Roman" w:hAnsi="Arial" w:cs="Arial"/>
              <w:snapToGrid w:val="0"/>
              <w:color w:val="58595B"/>
              <w:sz w:val="16"/>
              <w:szCs w:val="16"/>
              <w:lang w:eastAsia="ru-RU"/>
            </w:rPr>
          </w:pPr>
          <w:r w:rsidRPr="006A6A96">
            <w:rPr>
              <w:rFonts w:ascii="Arial" w:eastAsia="Times New Roman" w:hAnsi="Arial" w:cs="Arial"/>
              <w:snapToGrid w:val="0"/>
              <w:color w:val="58595B"/>
              <w:sz w:val="16"/>
              <w:szCs w:val="16"/>
              <w:lang w:eastAsia="ru-RU"/>
            </w:rPr>
            <w:t xml:space="preserve">стр. </w:t>
          </w:r>
          <w:r w:rsidRPr="006A6A96">
            <w:rPr>
              <w:rFonts w:ascii="Arial" w:eastAsia="Times New Roman" w:hAnsi="Arial" w:cs="Arial"/>
              <w:snapToGrid w:val="0"/>
              <w:color w:val="58595B"/>
              <w:sz w:val="16"/>
              <w:szCs w:val="16"/>
              <w:lang w:val="en-US" w:eastAsia="ru-RU"/>
            </w:rPr>
            <w:fldChar w:fldCharType="begin"/>
          </w:r>
          <w:r w:rsidRPr="006A6A96">
            <w:rPr>
              <w:rFonts w:ascii="Arial" w:eastAsia="Times New Roman" w:hAnsi="Arial" w:cs="Arial"/>
              <w:snapToGrid w:val="0"/>
              <w:color w:val="58595B"/>
              <w:sz w:val="16"/>
              <w:szCs w:val="16"/>
              <w:lang w:eastAsia="ru-RU"/>
            </w:rPr>
            <w:instrText xml:space="preserve"> </w:instrText>
          </w:r>
          <w:r w:rsidRPr="006A6A96">
            <w:rPr>
              <w:rFonts w:ascii="Arial" w:eastAsia="Times New Roman" w:hAnsi="Arial" w:cs="Arial"/>
              <w:snapToGrid w:val="0"/>
              <w:color w:val="58595B"/>
              <w:sz w:val="16"/>
              <w:szCs w:val="16"/>
              <w:lang w:val="en-US" w:eastAsia="ru-RU"/>
            </w:rPr>
            <w:instrText>PAGE</w:instrText>
          </w:r>
          <w:r w:rsidRPr="006A6A96">
            <w:rPr>
              <w:rFonts w:ascii="Arial" w:eastAsia="Times New Roman" w:hAnsi="Arial" w:cs="Arial"/>
              <w:snapToGrid w:val="0"/>
              <w:color w:val="58595B"/>
              <w:sz w:val="16"/>
              <w:szCs w:val="16"/>
              <w:lang w:eastAsia="ru-RU"/>
            </w:rPr>
            <w:instrText xml:space="preserve"> </w:instrText>
          </w:r>
          <w:r w:rsidRPr="006A6A96">
            <w:rPr>
              <w:rFonts w:ascii="Arial" w:eastAsia="Times New Roman" w:hAnsi="Arial" w:cs="Arial"/>
              <w:snapToGrid w:val="0"/>
              <w:color w:val="58595B"/>
              <w:sz w:val="16"/>
              <w:szCs w:val="16"/>
              <w:lang w:val="en-US" w:eastAsia="ru-RU"/>
            </w:rPr>
            <w:fldChar w:fldCharType="separate"/>
          </w:r>
          <w:r w:rsidR="00FF1F66">
            <w:rPr>
              <w:rFonts w:ascii="Arial" w:eastAsia="Times New Roman" w:hAnsi="Arial" w:cs="Arial"/>
              <w:noProof/>
              <w:snapToGrid w:val="0"/>
              <w:color w:val="58595B"/>
              <w:sz w:val="16"/>
              <w:szCs w:val="16"/>
              <w:lang w:val="en-US" w:eastAsia="ru-RU"/>
            </w:rPr>
            <w:t>2</w:t>
          </w:r>
          <w:r w:rsidRPr="006A6A96">
            <w:rPr>
              <w:rFonts w:ascii="Arial" w:eastAsia="Times New Roman" w:hAnsi="Arial" w:cs="Arial"/>
              <w:snapToGrid w:val="0"/>
              <w:color w:val="58595B"/>
              <w:sz w:val="16"/>
              <w:szCs w:val="16"/>
              <w:lang w:val="en-US" w:eastAsia="ru-RU"/>
            </w:rPr>
            <w:fldChar w:fldCharType="end"/>
          </w:r>
          <w:r w:rsidRPr="006A6A96">
            <w:rPr>
              <w:rFonts w:ascii="Arial" w:eastAsia="Times New Roman" w:hAnsi="Arial" w:cs="Arial"/>
              <w:snapToGrid w:val="0"/>
              <w:color w:val="58595B"/>
              <w:sz w:val="16"/>
              <w:szCs w:val="16"/>
              <w:lang w:eastAsia="ru-RU"/>
            </w:rPr>
            <w:t xml:space="preserve"> из </w:t>
          </w:r>
          <w:r w:rsidRPr="006A6A96">
            <w:rPr>
              <w:rFonts w:ascii="Arial" w:eastAsia="Times New Roman" w:hAnsi="Arial" w:cs="Arial"/>
              <w:snapToGrid w:val="0"/>
              <w:color w:val="58595B"/>
              <w:sz w:val="16"/>
              <w:szCs w:val="16"/>
              <w:lang w:val="en-US" w:eastAsia="ru-RU"/>
            </w:rPr>
            <w:fldChar w:fldCharType="begin"/>
          </w:r>
          <w:r w:rsidRPr="006A6A96">
            <w:rPr>
              <w:rFonts w:ascii="Arial" w:eastAsia="Times New Roman" w:hAnsi="Arial" w:cs="Arial"/>
              <w:snapToGrid w:val="0"/>
              <w:color w:val="58595B"/>
              <w:sz w:val="16"/>
              <w:szCs w:val="16"/>
              <w:lang w:eastAsia="ru-RU"/>
            </w:rPr>
            <w:instrText xml:space="preserve"> </w:instrText>
          </w:r>
          <w:r w:rsidRPr="006A6A96">
            <w:rPr>
              <w:rFonts w:ascii="Arial" w:eastAsia="Times New Roman" w:hAnsi="Arial" w:cs="Arial"/>
              <w:snapToGrid w:val="0"/>
              <w:color w:val="58595B"/>
              <w:sz w:val="16"/>
              <w:szCs w:val="16"/>
              <w:lang w:val="en-US" w:eastAsia="ru-RU"/>
            </w:rPr>
            <w:instrText>NUMPAGES</w:instrText>
          </w:r>
          <w:r w:rsidRPr="006A6A96">
            <w:rPr>
              <w:rFonts w:ascii="Arial" w:eastAsia="Times New Roman" w:hAnsi="Arial" w:cs="Arial"/>
              <w:snapToGrid w:val="0"/>
              <w:color w:val="58595B"/>
              <w:sz w:val="16"/>
              <w:szCs w:val="16"/>
              <w:lang w:eastAsia="ru-RU"/>
            </w:rPr>
            <w:instrText xml:space="preserve"> </w:instrText>
          </w:r>
          <w:r w:rsidRPr="006A6A96">
            <w:rPr>
              <w:rFonts w:ascii="Arial" w:eastAsia="Times New Roman" w:hAnsi="Arial" w:cs="Arial"/>
              <w:snapToGrid w:val="0"/>
              <w:color w:val="58595B"/>
              <w:sz w:val="16"/>
              <w:szCs w:val="16"/>
              <w:lang w:val="en-US" w:eastAsia="ru-RU"/>
            </w:rPr>
            <w:fldChar w:fldCharType="separate"/>
          </w:r>
          <w:r w:rsidR="00FF1F66">
            <w:rPr>
              <w:rFonts w:ascii="Arial" w:eastAsia="Times New Roman" w:hAnsi="Arial" w:cs="Arial"/>
              <w:noProof/>
              <w:snapToGrid w:val="0"/>
              <w:color w:val="58595B"/>
              <w:sz w:val="16"/>
              <w:szCs w:val="16"/>
              <w:lang w:val="en-US" w:eastAsia="ru-RU"/>
            </w:rPr>
            <w:t>19</w:t>
          </w:r>
          <w:r w:rsidRPr="006A6A96">
            <w:rPr>
              <w:rFonts w:ascii="Arial" w:eastAsia="Times New Roman" w:hAnsi="Arial" w:cs="Arial"/>
              <w:snapToGrid w:val="0"/>
              <w:color w:val="58595B"/>
              <w:sz w:val="16"/>
              <w:szCs w:val="16"/>
              <w:lang w:val="en-US" w:eastAsia="ru-RU"/>
            </w:rPr>
            <w:fldChar w:fldCharType="end"/>
          </w:r>
        </w:p>
      </w:tc>
    </w:tr>
  </w:tbl>
  <w:p w:rsidR="000E3FE4" w:rsidRPr="00E600C9" w:rsidRDefault="000E3FE4" w:rsidP="006A6A96">
    <w:pPr>
      <w:pStyle w:val="10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E4" w:rsidRPr="006F68CC" w:rsidRDefault="000E3FE4" w:rsidP="00E600C9">
    <w:pPr>
      <w:pStyle w:val="a9"/>
      <w:tabs>
        <w:tab w:val="clear" w:pos="4677"/>
        <w:tab w:val="clear" w:pos="9355"/>
      </w:tabs>
      <w:spacing w:after="0"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FA" w:rsidRDefault="00F014FA" w:rsidP="00282E3F">
      <w:pPr>
        <w:spacing w:after="0" w:line="240" w:lineRule="auto"/>
      </w:pPr>
      <w:r>
        <w:separator/>
      </w:r>
    </w:p>
  </w:footnote>
  <w:footnote w:type="continuationSeparator" w:id="0">
    <w:p w:rsidR="00F014FA" w:rsidRDefault="00F014FA" w:rsidP="002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EB" w:rsidRDefault="003654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EB" w:rsidRDefault="003654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9356"/>
    </w:tblGrid>
    <w:tr w:rsidR="000E3FE4" w:rsidTr="004442C5">
      <w:trPr>
        <w:trHeight w:val="680"/>
      </w:trPr>
      <w:tc>
        <w:tcPr>
          <w:tcW w:w="9356" w:type="dxa"/>
          <w:hideMark/>
        </w:tcPr>
        <w:p w:rsidR="000E3FE4" w:rsidRDefault="000E3FE4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7E7FF9C1" wp14:editId="0E9D5122">
                <wp:extent cx="1351915" cy="421640"/>
                <wp:effectExtent l="0" t="0" r="635" b="0"/>
                <wp:docPr id="2" name="Рисунок 2" descr="XBarCode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BarCode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91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3FE4" w:rsidRDefault="000E3FE4" w:rsidP="00AF39E3">
    <w:pPr>
      <w:rPr>
        <w:rFonts w:ascii="Arial" w:hAnsi="Arial" w:cs="Arial"/>
        <w:sz w:val="12"/>
        <w:szCs w:val="12"/>
      </w:rPr>
    </w:pPr>
    <w:r>
      <w:rPr>
        <w:noProof/>
        <w:lang w:eastAsia="ru-RU"/>
      </w:rPr>
      <w:drawing>
        <wp:anchor distT="0" distB="0" distL="114300" distR="114300" simplePos="0" relativeHeight="251659776" behindDoc="0" locked="1" layoutInCell="1" allowOverlap="1" wp14:anchorId="443E4E1B" wp14:editId="254749F6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2454275" cy="360045"/>
          <wp:effectExtent l="0" t="0" r="3175" b="1905"/>
          <wp:wrapNone/>
          <wp:docPr id="3" name="Рисунок 3" descr="Logo_Open_Broker_logo_hor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_Open_Broker_logo_hor_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E4" w:rsidRPr="00E600C9" w:rsidRDefault="000E3FE4" w:rsidP="00E600C9">
    <w:pPr>
      <w:pStyle w:val="a9"/>
      <w:tabs>
        <w:tab w:val="clear" w:pos="4677"/>
        <w:tab w:val="clear" w:pos="9355"/>
      </w:tabs>
      <w:spacing w:after="0" w:line="240" w:lineRule="auto"/>
      <w:rPr>
        <w:rFonts w:ascii="Arial" w:hAnsi="Arial" w:cs="Arial"/>
        <w:sz w:val="14"/>
        <w:szCs w:val="1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E4" w:rsidRPr="00E600C9" w:rsidRDefault="000E3FE4" w:rsidP="00E600C9">
    <w:pPr>
      <w:pStyle w:val="a9"/>
      <w:tabs>
        <w:tab w:val="clear" w:pos="4677"/>
        <w:tab w:val="clear" w:pos="9355"/>
      </w:tabs>
      <w:spacing w:after="0" w:line="240" w:lineRule="auto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A39"/>
    <w:multiLevelType w:val="hybridMultilevel"/>
    <w:tmpl w:val="9886BD0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E6585D"/>
    <w:multiLevelType w:val="hybridMultilevel"/>
    <w:tmpl w:val="752C906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E04B01"/>
    <w:multiLevelType w:val="hybridMultilevel"/>
    <w:tmpl w:val="83A83B54"/>
    <w:lvl w:ilvl="0" w:tplc="0840CE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E001CF"/>
    <w:multiLevelType w:val="hybridMultilevel"/>
    <w:tmpl w:val="1BC49DDC"/>
    <w:lvl w:ilvl="0" w:tplc="084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F07"/>
    <w:multiLevelType w:val="multilevel"/>
    <w:tmpl w:val="1166DDAA"/>
    <w:lvl w:ilvl="0">
      <w:start w:val="1"/>
      <w:numFmt w:val="decimal"/>
      <w:pStyle w:val="09-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9-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09-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09-111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8D1B9A"/>
    <w:multiLevelType w:val="hybridMultilevel"/>
    <w:tmpl w:val="51F46A70"/>
    <w:lvl w:ilvl="0" w:tplc="084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66992"/>
    <w:multiLevelType w:val="hybridMultilevel"/>
    <w:tmpl w:val="E1645B12"/>
    <w:lvl w:ilvl="0" w:tplc="48ECF1BE">
      <w:start w:val="1"/>
      <w:numFmt w:val="decimal"/>
      <w:pStyle w:val="09-1"/>
      <w:lvlText w:val="Раздел %1."/>
      <w:lvlJc w:val="left"/>
      <w:pPr>
        <w:ind w:left="720" w:hanging="360"/>
      </w:pPr>
      <w:rPr>
        <w:rFonts w:hint="default"/>
        <w:b/>
      </w:rPr>
    </w:lvl>
    <w:lvl w:ilvl="1" w:tplc="028E497E">
      <w:start w:val="1"/>
      <w:numFmt w:val="decimal"/>
      <w:lvlText w:val="%2."/>
      <w:lvlJc w:val="left"/>
      <w:pPr>
        <w:tabs>
          <w:tab w:val="num" w:pos="1134"/>
        </w:tabs>
        <w:ind w:left="851" w:hanging="567"/>
      </w:pPr>
      <w:rPr>
        <w:rFonts w:hint="default"/>
      </w:rPr>
    </w:lvl>
    <w:lvl w:ilvl="2" w:tplc="C668368A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70C29"/>
    <w:multiLevelType w:val="hybridMultilevel"/>
    <w:tmpl w:val="E9E816B6"/>
    <w:lvl w:ilvl="0" w:tplc="084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33B80"/>
    <w:multiLevelType w:val="hybridMultilevel"/>
    <w:tmpl w:val="B6846590"/>
    <w:lvl w:ilvl="0" w:tplc="04190005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36E51"/>
    <w:multiLevelType w:val="hybridMultilevel"/>
    <w:tmpl w:val="E3B065D8"/>
    <w:lvl w:ilvl="0" w:tplc="A96035EA">
      <w:start w:val="1"/>
      <w:numFmt w:val="bullet"/>
      <w:pStyle w:val="08"/>
      <w:lvlText w:val="−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040B90"/>
    <w:multiLevelType w:val="multilevel"/>
    <w:tmpl w:val="A41C585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243529"/>
    <w:multiLevelType w:val="multilevel"/>
    <w:tmpl w:val="79A4FDC8"/>
    <w:styleLink w:val="2"/>
    <w:lvl w:ilvl="0">
      <w:start w:val="1"/>
      <w:numFmt w:val="decimal"/>
      <w:lvlText w:val="Раздел %1."/>
      <w:lvlJc w:val="left"/>
      <w:pPr>
        <w:ind w:left="73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718"/>
        </w:tabs>
        <w:ind w:left="7435" w:hanging="567"/>
      </w:pPr>
      <w:rPr>
        <w:rFonts w:ascii="Arial" w:hAnsi="Arial" w:hint="default"/>
        <w:sz w:val="20"/>
      </w:rPr>
    </w:lvl>
    <w:lvl w:ilvl="2">
      <w:start w:val="1"/>
      <w:numFmt w:val="decimal"/>
      <w:lvlText w:val="%2.%3."/>
      <w:lvlJc w:val="right"/>
      <w:pPr>
        <w:ind w:left="8744" w:hanging="180"/>
      </w:pPr>
      <w:rPr>
        <w:rFonts w:ascii="Arial" w:hAnsi="Arial" w:hint="default"/>
        <w:sz w:val="20"/>
      </w:rPr>
    </w:lvl>
    <w:lvl w:ilvl="3">
      <w:start w:val="1"/>
      <w:numFmt w:val="decimal"/>
      <w:lvlText w:val="%4.%1.%2.%3"/>
      <w:lvlJc w:val="left"/>
      <w:pPr>
        <w:ind w:left="9464" w:hanging="360"/>
      </w:pPr>
      <w:rPr>
        <w:rFonts w:ascii="Arial" w:hAnsi="Arial" w:hint="default"/>
        <w:sz w:val="20"/>
      </w:rPr>
    </w:lvl>
    <w:lvl w:ilvl="4">
      <w:start w:val="1"/>
      <w:numFmt w:val="decimal"/>
      <w:lvlText w:val="%5."/>
      <w:lvlJc w:val="left"/>
      <w:pPr>
        <w:ind w:left="10184" w:hanging="360"/>
      </w:pPr>
      <w:rPr>
        <w:rFonts w:ascii="Arial" w:hAnsi="Arial" w:hint="default"/>
        <w:sz w:val="20"/>
      </w:rPr>
    </w:lvl>
    <w:lvl w:ilvl="5">
      <w:start w:val="1"/>
      <w:numFmt w:val="lowerRoman"/>
      <w:lvlText w:val="%6."/>
      <w:lvlJc w:val="right"/>
      <w:pPr>
        <w:ind w:left="109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6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3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064" w:hanging="180"/>
      </w:pPr>
      <w:rPr>
        <w:rFonts w:hint="default"/>
      </w:rPr>
    </w:lvl>
  </w:abstractNum>
  <w:abstractNum w:abstractNumId="12">
    <w:nsid w:val="23E530D7"/>
    <w:multiLevelType w:val="hybridMultilevel"/>
    <w:tmpl w:val="E84C6F2A"/>
    <w:lvl w:ilvl="0" w:tplc="084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700D7"/>
    <w:multiLevelType w:val="hybridMultilevel"/>
    <w:tmpl w:val="B6846590"/>
    <w:lvl w:ilvl="0" w:tplc="04190005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0C5F7D"/>
    <w:multiLevelType w:val="hybridMultilevel"/>
    <w:tmpl w:val="794E2C44"/>
    <w:lvl w:ilvl="0" w:tplc="0840CE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57261D"/>
    <w:multiLevelType w:val="hybridMultilevel"/>
    <w:tmpl w:val="C4A45734"/>
    <w:lvl w:ilvl="0" w:tplc="084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57CC5"/>
    <w:multiLevelType w:val="multilevel"/>
    <w:tmpl w:val="BBF08C3A"/>
    <w:styleLink w:val="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1418" w:hanging="851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4255"/>
        </w:tabs>
        <w:ind w:left="4255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5106"/>
        </w:tabs>
        <w:ind w:left="510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57"/>
        </w:tabs>
        <w:ind w:left="595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8"/>
        </w:tabs>
        <w:ind w:left="680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9"/>
        </w:tabs>
        <w:ind w:left="765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0"/>
        </w:tabs>
        <w:ind w:left="851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1"/>
        </w:tabs>
        <w:ind w:left="9361" w:hanging="567"/>
      </w:pPr>
      <w:rPr>
        <w:rFonts w:hint="default"/>
      </w:rPr>
    </w:lvl>
  </w:abstractNum>
  <w:abstractNum w:abstractNumId="17">
    <w:nsid w:val="44A82987"/>
    <w:multiLevelType w:val="hybridMultilevel"/>
    <w:tmpl w:val="C5F874A6"/>
    <w:lvl w:ilvl="0" w:tplc="0840C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5B262E"/>
    <w:multiLevelType w:val="hybridMultilevel"/>
    <w:tmpl w:val="7604FEDE"/>
    <w:lvl w:ilvl="0" w:tplc="0840CE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003664"/>
    <w:multiLevelType w:val="hybridMultilevel"/>
    <w:tmpl w:val="A37C3B44"/>
    <w:lvl w:ilvl="0" w:tplc="084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30E08"/>
    <w:multiLevelType w:val="hybridMultilevel"/>
    <w:tmpl w:val="F0EA0142"/>
    <w:lvl w:ilvl="0" w:tplc="084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0198B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>
    <w:nsid w:val="54C14321"/>
    <w:multiLevelType w:val="multilevel"/>
    <w:tmpl w:val="B2ACE60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492" w:hanging="492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55A3248A"/>
    <w:multiLevelType w:val="hybridMultilevel"/>
    <w:tmpl w:val="DD7A497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BA2DBB"/>
    <w:multiLevelType w:val="hybridMultilevel"/>
    <w:tmpl w:val="0A5AA484"/>
    <w:lvl w:ilvl="0" w:tplc="084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4288F"/>
    <w:multiLevelType w:val="hybridMultilevel"/>
    <w:tmpl w:val="7DBAD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A3E4A"/>
    <w:multiLevelType w:val="hybridMultilevel"/>
    <w:tmpl w:val="DF3CB87C"/>
    <w:lvl w:ilvl="0" w:tplc="2E3401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805A9"/>
    <w:multiLevelType w:val="multilevel"/>
    <w:tmpl w:val="959622F8"/>
    <w:lvl w:ilvl="0">
      <w:start w:val="1"/>
      <w:numFmt w:val="decimal"/>
      <w:pStyle w:val="07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711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07111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pStyle w:val="071111"/>
      <w:lvlText w:val="%1.%2.%3.%4."/>
      <w:lvlJc w:val="left"/>
      <w:pPr>
        <w:ind w:left="1728" w:hanging="648"/>
      </w:pPr>
    </w:lvl>
    <w:lvl w:ilvl="4">
      <w:start w:val="1"/>
      <w:numFmt w:val="decimal"/>
      <w:pStyle w:val="0711111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5C2346"/>
    <w:multiLevelType w:val="multilevel"/>
    <w:tmpl w:val="A1244EDC"/>
    <w:lvl w:ilvl="0">
      <w:start w:val="1"/>
      <w:numFmt w:val="decimal"/>
      <w:pStyle w:val="a"/>
      <w:isLgl/>
      <w:suff w:val="space"/>
      <w:lvlText w:val="%1."/>
      <w:lvlJc w:val="left"/>
      <w:pPr>
        <w:ind w:left="1388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687"/>
        </w:tabs>
        <w:ind w:left="687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02"/>
        </w:tabs>
        <w:ind w:left="702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62"/>
        </w:tabs>
        <w:ind w:left="7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62"/>
        </w:tabs>
        <w:ind w:left="106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62"/>
        </w:tabs>
        <w:ind w:left="106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22"/>
        </w:tabs>
        <w:ind w:left="1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22"/>
        </w:tabs>
        <w:ind w:left="1422" w:hanging="1440"/>
      </w:pPr>
      <w:rPr>
        <w:rFonts w:hint="default"/>
        <w:b/>
      </w:rPr>
    </w:lvl>
  </w:abstractNum>
  <w:abstractNum w:abstractNumId="29">
    <w:nsid w:val="65DB495E"/>
    <w:multiLevelType w:val="hybridMultilevel"/>
    <w:tmpl w:val="752C906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0AF4098"/>
    <w:multiLevelType w:val="hybridMultilevel"/>
    <w:tmpl w:val="6F7ECDF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65905BD"/>
    <w:multiLevelType w:val="multilevel"/>
    <w:tmpl w:val="B2ACE60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492" w:hanging="492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2">
    <w:nsid w:val="7BCB6BB6"/>
    <w:multiLevelType w:val="hybridMultilevel"/>
    <w:tmpl w:val="F9C8F9A4"/>
    <w:lvl w:ilvl="0" w:tplc="084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51422"/>
    <w:multiLevelType w:val="hybridMultilevel"/>
    <w:tmpl w:val="050295DA"/>
    <w:lvl w:ilvl="0" w:tplc="084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28"/>
  </w:num>
  <w:num w:numId="9">
    <w:abstractNumId w:val="19"/>
  </w:num>
  <w:num w:numId="10">
    <w:abstractNumId w:val="32"/>
  </w:num>
  <w:num w:numId="11">
    <w:abstractNumId w:val="2"/>
  </w:num>
  <w:num w:numId="12">
    <w:abstractNumId w:val="24"/>
  </w:num>
  <w:num w:numId="13">
    <w:abstractNumId w:val="7"/>
  </w:num>
  <w:num w:numId="14">
    <w:abstractNumId w:val="22"/>
  </w:num>
  <w:num w:numId="15">
    <w:abstractNumId w:val="3"/>
  </w:num>
  <w:num w:numId="16">
    <w:abstractNumId w:val="14"/>
  </w:num>
  <w:num w:numId="17">
    <w:abstractNumId w:val="18"/>
  </w:num>
  <w:num w:numId="18">
    <w:abstractNumId w:val="31"/>
  </w:num>
  <w:num w:numId="19">
    <w:abstractNumId w:val="8"/>
  </w:num>
  <w:num w:numId="20">
    <w:abstractNumId w:val="13"/>
  </w:num>
  <w:num w:numId="21">
    <w:abstractNumId w:val="33"/>
  </w:num>
  <w:num w:numId="22">
    <w:abstractNumId w:val="20"/>
  </w:num>
  <w:num w:numId="23">
    <w:abstractNumId w:val="12"/>
  </w:num>
  <w:num w:numId="24">
    <w:abstractNumId w:val="15"/>
  </w:num>
  <w:num w:numId="25">
    <w:abstractNumId w:val="5"/>
  </w:num>
  <w:num w:numId="26">
    <w:abstractNumId w:val="1"/>
  </w:num>
  <w:num w:numId="27">
    <w:abstractNumId w:val="0"/>
  </w:num>
  <w:num w:numId="28">
    <w:abstractNumId w:val="17"/>
  </w:num>
  <w:num w:numId="29">
    <w:abstractNumId w:val="29"/>
  </w:num>
  <w:num w:numId="30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6"/>
  </w:num>
  <w:num w:numId="33">
    <w:abstractNumId w:val="10"/>
  </w:num>
  <w:num w:numId="34">
    <w:abstractNumId w:val="25"/>
  </w:num>
  <w:num w:numId="35">
    <w:abstractNumId w:val="23"/>
  </w:num>
  <w:num w:numId="36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SortMethod w:val="00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1630F"/>
    <w:rsid w:val="000340C9"/>
    <w:rsid w:val="00045D81"/>
    <w:rsid w:val="000516E6"/>
    <w:rsid w:val="0005653F"/>
    <w:rsid w:val="0006112C"/>
    <w:rsid w:val="00065C48"/>
    <w:rsid w:val="00066410"/>
    <w:rsid w:val="000709FF"/>
    <w:rsid w:val="000740AB"/>
    <w:rsid w:val="00081B8F"/>
    <w:rsid w:val="00085190"/>
    <w:rsid w:val="00092314"/>
    <w:rsid w:val="000972B2"/>
    <w:rsid w:val="000A4EA3"/>
    <w:rsid w:val="000B5E12"/>
    <w:rsid w:val="000B7D68"/>
    <w:rsid w:val="000C7D2B"/>
    <w:rsid w:val="000D1E7E"/>
    <w:rsid w:val="000D3589"/>
    <w:rsid w:val="000D559B"/>
    <w:rsid w:val="000D5F89"/>
    <w:rsid w:val="000D61E9"/>
    <w:rsid w:val="000E207B"/>
    <w:rsid w:val="000E3FE4"/>
    <w:rsid w:val="000E553D"/>
    <w:rsid w:val="000E61C9"/>
    <w:rsid w:val="000E7FAD"/>
    <w:rsid w:val="000F227F"/>
    <w:rsid w:val="00102954"/>
    <w:rsid w:val="0011142F"/>
    <w:rsid w:val="001124DE"/>
    <w:rsid w:val="00117CAC"/>
    <w:rsid w:val="00120702"/>
    <w:rsid w:val="001217EC"/>
    <w:rsid w:val="00122974"/>
    <w:rsid w:val="00125726"/>
    <w:rsid w:val="001276E2"/>
    <w:rsid w:val="0013330D"/>
    <w:rsid w:val="00142CF2"/>
    <w:rsid w:val="00144AD7"/>
    <w:rsid w:val="0015316E"/>
    <w:rsid w:val="00153B5A"/>
    <w:rsid w:val="001567AF"/>
    <w:rsid w:val="0017728A"/>
    <w:rsid w:val="00181511"/>
    <w:rsid w:val="001906E7"/>
    <w:rsid w:val="00195953"/>
    <w:rsid w:val="001A16AD"/>
    <w:rsid w:val="001A3B4A"/>
    <w:rsid w:val="001A40E1"/>
    <w:rsid w:val="001A664D"/>
    <w:rsid w:val="001A73A4"/>
    <w:rsid w:val="001B1B00"/>
    <w:rsid w:val="001B29C1"/>
    <w:rsid w:val="001C096F"/>
    <w:rsid w:val="001C1810"/>
    <w:rsid w:val="001C2A33"/>
    <w:rsid w:val="001C6727"/>
    <w:rsid w:val="001C6C6F"/>
    <w:rsid w:val="001C7CB6"/>
    <w:rsid w:val="001D3273"/>
    <w:rsid w:val="001D428D"/>
    <w:rsid w:val="001D5F82"/>
    <w:rsid w:val="001E3EEE"/>
    <w:rsid w:val="001E780F"/>
    <w:rsid w:val="001F29A8"/>
    <w:rsid w:val="001F474E"/>
    <w:rsid w:val="001F6163"/>
    <w:rsid w:val="00201B0B"/>
    <w:rsid w:val="00210A9C"/>
    <w:rsid w:val="00212898"/>
    <w:rsid w:val="0022412C"/>
    <w:rsid w:val="002279C5"/>
    <w:rsid w:val="002379ED"/>
    <w:rsid w:val="00241F80"/>
    <w:rsid w:val="00255004"/>
    <w:rsid w:val="00260A76"/>
    <w:rsid w:val="00260E07"/>
    <w:rsid w:val="00260F70"/>
    <w:rsid w:val="00261F66"/>
    <w:rsid w:val="00266A3C"/>
    <w:rsid w:val="00272BDB"/>
    <w:rsid w:val="00273105"/>
    <w:rsid w:val="00274288"/>
    <w:rsid w:val="00282E3F"/>
    <w:rsid w:val="0028421C"/>
    <w:rsid w:val="0028670E"/>
    <w:rsid w:val="00287938"/>
    <w:rsid w:val="00295A8D"/>
    <w:rsid w:val="00295CF2"/>
    <w:rsid w:val="002965DC"/>
    <w:rsid w:val="002A5B22"/>
    <w:rsid w:val="002B5F6D"/>
    <w:rsid w:val="002B74B3"/>
    <w:rsid w:val="002C288F"/>
    <w:rsid w:val="002D5F86"/>
    <w:rsid w:val="002E036D"/>
    <w:rsid w:val="002E0F27"/>
    <w:rsid w:val="002E7BE0"/>
    <w:rsid w:val="002F36EE"/>
    <w:rsid w:val="00300BF5"/>
    <w:rsid w:val="003021E6"/>
    <w:rsid w:val="00303DB1"/>
    <w:rsid w:val="0030633A"/>
    <w:rsid w:val="00314575"/>
    <w:rsid w:val="00324EDF"/>
    <w:rsid w:val="00324F63"/>
    <w:rsid w:val="00336122"/>
    <w:rsid w:val="00336224"/>
    <w:rsid w:val="00336A8A"/>
    <w:rsid w:val="0034041F"/>
    <w:rsid w:val="00343815"/>
    <w:rsid w:val="00346AE3"/>
    <w:rsid w:val="003473B4"/>
    <w:rsid w:val="003474AD"/>
    <w:rsid w:val="003510D0"/>
    <w:rsid w:val="0035332F"/>
    <w:rsid w:val="00353375"/>
    <w:rsid w:val="003574A4"/>
    <w:rsid w:val="003629B8"/>
    <w:rsid w:val="00364490"/>
    <w:rsid w:val="003654EB"/>
    <w:rsid w:val="0036600E"/>
    <w:rsid w:val="0036686E"/>
    <w:rsid w:val="00372328"/>
    <w:rsid w:val="00372364"/>
    <w:rsid w:val="003854D5"/>
    <w:rsid w:val="00392D78"/>
    <w:rsid w:val="00396E64"/>
    <w:rsid w:val="003A1F78"/>
    <w:rsid w:val="003B046D"/>
    <w:rsid w:val="003B17A3"/>
    <w:rsid w:val="003C0E7A"/>
    <w:rsid w:val="003C4053"/>
    <w:rsid w:val="003D11B3"/>
    <w:rsid w:val="003D78C4"/>
    <w:rsid w:val="003E2BEE"/>
    <w:rsid w:val="003E48EA"/>
    <w:rsid w:val="003E5FF5"/>
    <w:rsid w:val="003F0F89"/>
    <w:rsid w:val="003F321F"/>
    <w:rsid w:val="00403024"/>
    <w:rsid w:val="00420C68"/>
    <w:rsid w:val="00422FA4"/>
    <w:rsid w:val="00430B17"/>
    <w:rsid w:val="00430BFC"/>
    <w:rsid w:val="004330CD"/>
    <w:rsid w:val="00433226"/>
    <w:rsid w:val="00434B0B"/>
    <w:rsid w:val="00437ABB"/>
    <w:rsid w:val="00440758"/>
    <w:rsid w:val="004408A4"/>
    <w:rsid w:val="00442656"/>
    <w:rsid w:val="004442C5"/>
    <w:rsid w:val="0044543E"/>
    <w:rsid w:val="00446803"/>
    <w:rsid w:val="00447BED"/>
    <w:rsid w:val="004628B3"/>
    <w:rsid w:val="00464AE2"/>
    <w:rsid w:val="004710C9"/>
    <w:rsid w:val="00473E42"/>
    <w:rsid w:val="004843F4"/>
    <w:rsid w:val="00491BD4"/>
    <w:rsid w:val="00491EA5"/>
    <w:rsid w:val="004939C8"/>
    <w:rsid w:val="00494A4E"/>
    <w:rsid w:val="004A3090"/>
    <w:rsid w:val="004A7B4F"/>
    <w:rsid w:val="004B25E4"/>
    <w:rsid w:val="004C7B63"/>
    <w:rsid w:val="004D733C"/>
    <w:rsid w:val="004D7C60"/>
    <w:rsid w:val="004E1FAF"/>
    <w:rsid w:val="004E3554"/>
    <w:rsid w:val="004E4971"/>
    <w:rsid w:val="004E72BD"/>
    <w:rsid w:val="004F65BC"/>
    <w:rsid w:val="00503073"/>
    <w:rsid w:val="00504534"/>
    <w:rsid w:val="0051027D"/>
    <w:rsid w:val="00511A6B"/>
    <w:rsid w:val="00511A74"/>
    <w:rsid w:val="005163BF"/>
    <w:rsid w:val="0051713E"/>
    <w:rsid w:val="00517CB4"/>
    <w:rsid w:val="00517FE2"/>
    <w:rsid w:val="00520E79"/>
    <w:rsid w:val="005226C8"/>
    <w:rsid w:val="0052283C"/>
    <w:rsid w:val="0053675E"/>
    <w:rsid w:val="00536CCC"/>
    <w:rsid w:val="00537236"/>
    <w:rsid w:val="00540135"/>
    <w:rsid w:val="00544E18"/>
    <w:rsid w:val="00555F10"/>
    <w:rsid w:val="0055707A"/>
    <w:rsid w:val="00572788"/>
    <w:rsid w:val="00573C6A"/>
    <w:rsid w:val="00593E2E"/>
    <w:rsid w:val="005A1FA3"/>
    <w:rsid w:val="005B109C"/>
    <w:rsid w:val="005B3D33"/>
    <w:rsid w:val="005B3D90"/>
    <w:rsid w:val="005C32B8"/>
    <w:rsid w:val="005D06FE"/>
    <w:rsid w:val="005D1403"/>
    <w:rsid w:val="005D1B36"/>
    <w:rsid w:val="005D2952"/>
    <w:rsid w:val="005D5CBE"/>
    <w:rsid w:val="005D70C7"/>
    <w:rsid w:val="005E20CD"/>
    <w:rsid w:val="005E2D04"/>
    <w:rsid w:val="005E7B16"/>
    <w:rsid w:val="005F01FB"/>
    <w:rsid w:val="00601BCF"/>
    <w:rsid w:val="00601DC2"/>
    <w:rsid w:val="0060285E"/>
    <w:rsid w:val="00604F98"/>
    <w:rsid w:val="00607E82"/>
    <w:rsid w:val="006113A8"/>
    <w:rsid w:val="00612F22"/>
    <w:rsid w:val="006172CD"/>
    <w:rsid w:val="00617670"/>
    <w:rsid w:val="00617F88"/>
    <w:rsid w:val="0062250F"/>
    <w:rsid w:val="0063469A"/>
    <w:rsid w:val="0064161C"/>
    <w:rsid w:val="00647CC6"/>
    <w:rsid w:val="006518CD"/>
    <w:rsid w:val="00660DAC"/>
    <w:rsid w:val="00663C62"/>
    <w:rsid w:val="00665D0C"/>
    <w:rsid w:val="006721E7"/>
    <w:rsid w:val="006816BC"/>
    <w:rsid w:val="00693CB7"/>
    <w:rsid w:val="006A1AA2"/>
    <w:rsid w:val="006A451B"/>
    <w:rsid w:val="006A6A96"/>
    <w:rsid w:val="006B0018"/>
    <w:rsid w:val="006B1C3F"/>
    <w:rsid w:val="006B276D"/>
    <w:rsid w:val="006D3488"/>
    <w:rsid w:val="006D6C56"/>
    <w:rsid w:val="006E514F"/>
    <w:rsid w:val="006F0BDF"/>
    <w:rsid w:val="006F0EA5"/>
    <w:rsid w:val="006F68CC"/>
    <w:rsid w:val="006F7E57"/>
    <w:rsid w:val="00703EE7"/>
    <w:rsid w:val="00713CCE"/>
    <w:rsid w:val="00714E57"/>
    <w:rsid w:val="00720F36"/>
    <w:rsid w:val="00723443"/>
    <w:rsid w:val="0072638E"/>
    <w:rsid w:val="007313A7"/>
    <w:rsid w:val="00732D0B"/>
    <w:rsid w:val="00733F66"/>
    <w:rsid w:val="00733FFA"/>
    <w:rsid w:val="007351EA"/>
    <w:rsid w:val="00745A27"/>
    <w:rsid w:val="007522B3"/>
    <w:rsid w:val="00765465"/>
    <w:rsid w:val="00766FB6"/>
    <w:rsid w:val="00767924"/>
    <w:rsid w:val="007756CE"/>
    <w:rsid w:val="00776A2C"/>
    <w:rsid w:val="00776E3B"/>
    <w:rsid w:val="00777A0F"/>
    <w:rsid w:val="007817ED"/>
    <w:rsid w:val="00790233"/>
    <w:rsid w:val="00793CEE"/>
    <w:rsid w:val="0079499F"/>
    <w:rsid w:val="00797873"/>
    <w:rsid w:val="007A0F37"/>
    <w:rsid w:val="007A37E0"/>
    <w:rsid w:val="007A420B"/>
    <w:rsid w:val="007A60BC"/>
    <w:rsid w:val="007C52D6"/>
    <w:rsid w:val="007D093E"/>
    <w:rsid w:val="007D483C"/>
    <w:rsid w:val="007D7DC9"/>
    <w:rsid w:val="007E2C1E"/>
    <w:rsid w:val="007E3AA9"/>
    <w:rsid w:val="007E45FC"/>
    <w:rsid w:val="007E61E9"/>
    <w:rsid w:val="007F25F9"/>
    <w:rsid w:val="00805873"/>
    <w:rsid w:val="00807686"/>
    <w:rsid w:val="0081639D"/>
    <w:rsid w:val="00822EDC"/>
    <w:rsid w:val="00825DAD"/>
    <w:rsid w:val="00833694"/>
    <w:rsid w:val="00837E49"/>
    <w:rsid w:val="00841849"/>
    <w:rsid w:val="008454FA"/>
    <w:rsid w:val="0084734A"/>
    <w:rsid w:val="0085161C"/>
    <w:rsid w:val="00860FF6"/>
    <w:rsid w:val="00861889"/>
    <w:rsid w:val="00861BB0"/>
    <w:rsid w:val="008731C9"/>
    <w:rsid w:val="0087407F"/>
    <w:rsid w:val="0087426C"/>
    <w:rsid w:val="00883EED"/>
    <w:rsid w:val="008A757D"/>
    <w:rsid w:val="008B13C7"/>
    <w:rsid w:val="008B587D"/>
    <w:rsid w:val="008C0367"/>
    <w:rsid w:val="008C7DC1"/>
    <w:rsid w:val="008D0488"/>
    <w:rsid w:val="008D1CEF"/>
    <w:rsid w:val="008D7865"/>
    <w:rsid w:val="008E50E4"/>
    <w:rsid w:val="008F1309"/>
    <w:rsid w:val="008F205E"/>
    <w:rsid w:val="008F2559"/>
    <w:rsid w:val="008F3D92"/>
    <w:rsid w:val="008F51FA"/>
    <w:rsid w:val="00905BA6"/>
    <w:rsid w:val="00927B00"/>
    <w:rsid w:val="00932042"/>
    <w:rsid w:val="00940F89"/>
    <w:rsid w:val="009410A1"/>
    <w:rsid w:val="00954E3C"/>
    <w:rsid w:val="009612CD"/>
    <w:rsid w:val="00991BC1"/>
    <w:rsid w:val="00991BD8"/>
    <w:rsid w:val="009A307A"/>
    <w:rsid w:val="009A4F78"/>
    <w:rsid w:val="009A5C25"/>
    <w:rsid w:val="009B09C1"/>
    <w:rsid w:val="009B11FF"/>
    <w:rsid w:val="009C0580"/>
    <w:rsid w:val="009C537F"/>
    <w:rsid w:val="009D3631"/>
    <w:rsid w:val="009D3FCA"/>
    <w:rsid w:val="009D5595"/>
    <w:rsid w:val="009F5A6B"/>
    <w:rsid w:val="009F5FAE"/>
    <w:rsid w:val="00A0468D"/>
    <w:rsid w:val="00A060B7"/>
    <w:rsid w:val="00A12710"/>
    <w:rsid w:val="00A140CF"/>
    <w:rsid w:val="00A17026"/>
    <w:rsid w:val="00A24731"/>
    <w:rsid w:val="00A2555C"/>
    <w:rsid w:val="00A32AF5"/>
    <w:rsid w:val="00A36A76"/>
    <w:rsid w:val="00A431BF"/>
    <w:rsid w:val="00A50F68"/>
    <w:rsid w:val="00A52EE1"/>
    <w:rsid w:val="00A540F8"/>
    <w:rsid w:val="00A61FA5"/>
    <w:rsid w:val="00A65637"/>
    <w:rsid w:val="00A67CC4"/>
    <w:rsid w:val="00A72E77"/>
    <w:rsid w:val="00A73C60"/>
    <w:rsid w:val="00A755B8"/>
    <w:rsid w:val="00A87351"/>
    <w:rsid w:val="00A93132"/>
    <w:rsid w:val="00AC180E"/>
    <w:rsid w:val="00AC1F81"/>
    <w:rsid w:val="00AC544E"/>
    <w:rsid w:val="00AD02EE"/>
    <w:rsid w:val="00AE01B0"/>
    <w:rsid w:val="00AE1972"/>
    <w:rsid w:val="00AE415F"/>
    <w:rsid w:val="00AE498F"/>
    <w:rsid w:val="00AE547E"/>
    <w:rsid w:val="00AE5B25"/>
    <w:rsid w:val="00AF39E3"/>
    <w:rsid w:val="00AF4093"/>
    <w:rsid w:val="00AF4CA4"/>
    <w:rsid w:val="00AF5E14"/>
    <w:rsid w:val="00B14C9F"/>
    <w:rsid w:val="00B2163B"/>
    <w:rsid w:val="00B23703"/>
    <w:rsid w:val="00B352B0"/>
    <w:rsid w:val="00B35D1B"/>
    <w:rsid w:val="00B45091"/>
    <w:rsid w:val="00B4526D"/>
    <w:rsid w:val="00B478D0"/>
    <w:rsid w:val="00B56BE9"/>
    <w:rsid w:val="00B671F0"/>
    <w:rsid w:val="00B7158B"/>
    <w:rsid w:val="00B76D8F"/>
    <w:rsid w:val="00B7727F"/>
    <w:rsid w:val="00B865F3"/>
    <w:rsid w:val="00B9609D"/>
    <w:rsid w:val="00BA2E6C"/>
    <w:rsid w:val="00BA7125"/>
    <w:rsid w:val="00BB0592"/>
    <w:rsid w:val="00BB2332"/>
    <w:rsid w:val="00BC2A13"/>
    <w:rsid w:val="00BD05AA"/>
    <w:rsid w:val="00BD4C3B"/>
    <w:rsid w:val="00BD54B2"/>
    <w:rsid w:val="00BE00F7"/>
    <w:rsid w:val="00BF1D61"/>
    <w:rsid w:val="00BF348F"/>
    <w:rsid w:val="00BF388A"/>
    <w:rsid w:val="00C23FFB"/>
    <w:rsid w:val="00C31F52"/>
    <w:rsid w:val="00C37044"/>
    <w:rsid w:val="00C40DD4"/>
    <w:rsid w:val="00C41215"/>
    <w:rsid w:val="00C4411D"/>
    <w:rsid w:val="00C45167"/>
    <w:rsid w:val="00C52559"/>
    <w:rsid w:val="00C54C2F"/>
    <w:rsid w:val="00C559FD"/>
    <w:rsid w:val="00C66746"/>
    <w:rsid w:val="00C7129A"/>
    <w:rsid w:val="00C7396E"/>
    <w:rsid w:val="00C74962"/>
    <w:rsid w:val="00C85F08"/>
    <w:rsid w:val="00C90CA6"/>
    <w:rsid w:val="00CA33F9"/>
    <w:rsid w:val="00CA4078"/>
    <w:rsid w:val="00CA4258"/>
    <w:rsid w:val="00CB2348"/>
    <w:rsid w:val="00CC128A"/>
    <w:rsid w:val="00CC62EE"/>
    <w:rsid w:val="00CD1AFC"/>
    <w:rsid w:val="00CD49CE"/>
    <w:rsid w:val="00CD61B3"/>
    <w:rsid w:val="00CE05BE"/>
    <w:rsid w:val="00CE4AE7"/>
    <w:rsid w:val="00CE7B92"/>
    <w:rsid w:val="00CF41A1"/>
    <w:rsid w:val="00D003D4"/>
    <w:rsid w:val="00D145C6"/>
    <w:rsid w:val="00D14F5D"/>
    <w:rsid w:val="00D15AA2"/>
    <w:rsid w:val="00D20B7E"/>
    <w:rsid w:val="00D2265D"/>
    <w:rsid w:val="00D2302F"/>
    <w:rsid w:val="00D2384D"/>
    <w:rsid w:val="00D23FBE"/>
    <w:rsid w:val="00D4431C"/>
    <w:rsid w:val="00D474DF"/>
    <w:rsid w:val="00D602DF"/>
    <w:rsid w:val="00D61E9E"/>
    <w:rsid w:val="00D73DEB"/>
    <w:rsid w:val="00D81ADA"/>
    <w:rsid w:val="00D857AA"/>
    <w:rsid w:val="00D85F84"/>
    <w:rsid w:val="00DA5337"/>
    <w:rsid w:val="00DA55B9"/>
    <w:rsid w:val="00DA60A3"/>
    <w:rsid w:val="00DB2BE1"/>
    <w:rsid w:val="00DB6BF0"/>
    <w:rsid w:val="00DD17E1"/>
    <w:rsid w:val="00DD4BFE"/>
    <w:rsid w:val="00DE2265"/>
    <w:rsid w:val="00DE667D"/>
    <w:rsid w:val="00DE7D49"/>
    <w:rsid w:val="00DF21DB"/>
    <w:rsid w:val="00DF4020"/>
    <w:rsid w:val="00DF446A"/>
    <w:rsid w:val="00DF7978"/>
    <w:rsid w:val="00E00AFF"/>
    <w:rsid w:val="00E02BBD"/>
    <w:rsid w:val="00E04AC6"/>
    <w:rsid w:val="00E0523A"/>
    <w:rsid w:val="00E077F2"/>
    <w:rsid w:val="00E11C77"/>
    <w:rsid w:val="00E1443A"/>
    <w:rsid w:val="00E14D20"/>
    <w:rsid w:val="00E1605A"/>
    <w:rsid w:val="00E168B4"/>
    <w:rsid w:val="00E24147"/>
    <w:rsid w:val="00E36CD1"/>
    <w:rsid w:val="00E40DCD"/>
    <w:rsid w:val="00E41869"/>
    <w:rsid w:val="00E42126"/>
    <w:rsid w:val="00E4247B"/>
    <w:rsid w:val="00E466AD"/>
    <w:rsid w:val="00E541E9"/>
    <w:rsid w:val="00E600C9"/>
    <w:rsid w:val="00E6261D"/>
    <w:rsid w:val="00E67F9E"/>
    <w:rsid w:val="00E76B15"/>
    <w:rsid w:val="00E77AB2"/>
    <w:rsid w:val="00E811F2"/>
    <w:rsid w:val="00E82D0B"/>
    <w:rsid w:val="00EB25B3"/>
    <w:rsid w:val="00EB3E7B"/>
    <w:rsid w:val="00EB5B61"/>
    <w:rsid w:val="00EB5EE4"/>
    <w:rsid w:val="00EC183E"/>
    <w:rsid w:val="00EC28F7"/>
    <w:rsid w:val="00EC576F"/>
    <w:rsid w:val="00ED007A"/>
    <w:rsid w:val="00ED2F81"/>
    <w:rsid w:val="00ED3900"/>
    <w:rsid w:val="00EE1C28"/>
    <w:rsid w:val="00EE3D7C"/>
    <w:rsid w:val="00EE7CE6"/>
    <w:rsid w:val="00F014FA"/>
    <w:rsid w:val="00F01899"/>
    <w:rsid w:val="00F02D88"/>
    <w:rsid w:val="00F02FBA"/>
    <w:rsid w:val="00F04C5F"/>
    <w:rsid w:val="00F0734B"/>
    <w:rsid w:val="00F123E6"/>
    <w:rsid w:val="00F1487F"/>
    <w:rsid w:val="00F27276"/>
    <w:rsid w:val="00F32D6F"/>
    <w:rsid w:val="00F34EA3"/>
    <w:rsid w:val="00F459CE"/>
    <w:rsid w:val="00F46EDF"/>
    <w:rsid w:val="00F4713E"/>
    <w:rsid w:val="00F52658"/>
    <w:rsid w:val="00F5471E"/>
    <w:rsid w:val="00F64A74"/>
    <w:rsid w:val="00F67B87"/>
    <w:rsid w:val="00F67E46"/>
    <w:rsid w:val="00F736FB"/>
    <w:rsid w:val="00F76B99"/>
    <w:rsid w:val="00F84D5C"/>
    <w:rsid w:val="00F954B3"/>
    <w:rsid w:val="00F97465"/>
    <w:rsid w:val="00FA23BC"/>
    <w:rsid w:val="00FA42FA"/>
    <w:rsid w:val="00FA63EF"/>
    <w:rsid w:val="00FB0EF4"/>
    <w:rsid w:val="00FB2EB0"/>
    <w:rsid w:val="00FB33E4"/>
    <w:rsid w:val="00FB5AE6"/>
    <w:rsid w:val="00FC57D7"/>
    <w:rsid w:val="00FC5AA2"/>
    <w:rsid w:val="00FD1903"/>
    <w:rsid w:val="00FE0A1B"/>
    <w:rsid w:val="00FE117F"/>
    <w:rsid w:val="00FE19B9"/>
    <w:rsid w:val="00FE26B7"/>
    <w:rsid w:val="00FF02CD"/>
    <w:rsid w:val="00FF0AB0"/>
    <w:rsid w:val="00FF1215"/>
    <w:rsid w:val="00FF1F66"/>
    <w:rsid w:val="00FF2C8B"/>
    <w:rsid w:val="00FF4CDE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0" w:unhideWhenUsed="1"/>
    <w:lsdException w:name="caption" w:uiPriority="35" w:unhideWhenUsed="1" w:qFormat="1"/>
    <w:lsdException w:name="footnote reference" w:uiPriority="0"/>
    <w:lsdException w:name="page number" w:uiPriority="0"/>
    <w:lsdException w:name="Title" w:semiHidden="0" w:qFormat="1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Document Map" w:uiPriority="0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3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3"/>
    <w:next w:val="a3"/>
    <w:link w:val="11"/>
    <w:qFormat/>
    <w:rsid w:val="00511A6B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3"/>
    <w:next w:val="a3"/>
    <w:link w:val="21"/>
    <w:uiPriority w:val="9"/>
    <w:semiHidden/>
    <w:rsid w:val="00511A6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qFormat/>
    <w:rsid w:val="00511A6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qFormat/>
    <w:rsid w:val="00511A6B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semiHidden/>
    <w:qFormat/>
    <w:rsid w:val="00511A6B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semiHidden/>
    <w:qFormat/>
    <w:rsid w:val="00511A6B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3"/>
    <w:next w:val="a3"/>
    <w:link w:val="70"/>
    <w:uiPriority w:val="9"/>
    <w:semiHidden/>
    <w:qFormat/>
    <w:rsid w:val="00511A6B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3"/>
    <w:next w:val="a3"/>
    <w:link w:val="80"/>
    <w:uiPriority w:val="9"/>
    <w:semiHidden/>
    <w:qFormat/>
    <w:rsid w:val="00511A6B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3"/>
    <w:next w:val="a3"/>
    <w:link w:val="90"/>
    <w:uiPriority w:val="9"/>
    <w:semiHidden/>
    <w:qFormat/>
    <w:rsid w:val="00511A6B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02BBD"/>
    <w:rPr>
      <w:sz w:val="22"/>
      <w:szCs w:val="22"/>
      <w:lang w:eastAsia="en-US"/>
    </w:rPr>
  </w:style>
  <w:style w:type="paragraph" w:styleId="a9">
    <w:name w:val="footer"/>
    <w:basedOn w:val="a3"/>
    <w:link w:val="aa"/>
    <w:rsid w:val="00282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2BBD"/>
    <w:rPr>
      <w:sz w:val="22"/>
      <w:szCs w:val="22"/>
      <w:lang w:eastAsia="en-US"/>
    </w:rPr>
  </w:style>
  <w:style w:type="table" w:styleId="ab">
    <w:name w:val="Table Grid"/>
    <w:basedOn w:val="a5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3"/>
    <w:link w:val="ad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5">
    <w:name w:val="05 ЗАГОЛОВОК Доп"/>
    <w:rsid w:val="0044543E"/>
    <w:pPr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04">
    <w:name w:val="04 ЗАГОЛОВОК Осн"/>
    <w:qFormat/>
    <w:rsid w:val="00AC544E"/>
    <w:pPr>
      <w:spacing w:before="1800"/>
      <w:jc w:val="center"/>
    </w:pPr>
    <w:rPr>
      <w:rFonts w:ascii="Arial" w:eastAsia="Times New Roman" w:hAnsi="Arial" w:cs="Arial"/>
      <w:b/>
      <w:sz w:val="40"/>
      <w:szCs w:val="40"/>
    </w:rPr>
  </w:style>
  <w:style w:type="paragraph" w:customStyle="1" w:styleId="050">
    <w:name w:val="05 ТЕКСТ ДОКУМЕНТА"/>
    <w:link w:val="051"/>
    <w:qFormat/>
    <w:rsid w:val="002B74B3"/>
    <w:pPr>
      <w:spacing w:after="283"/>
      <w:ind w:firstLine="284"/>
    </w:pPr>
    <w:rPr>
      <w:rFonts w:ascii="Arial" w:hAnsi="Arial" w:cs="Arial"/>
      <w:szCs w:val="22"/>
      <w:lang w:eastAsia="en-US"/>
    </w:rPr>
  </w:style>
  <w:style w:type="paragraph" w:customStyle="1" w:styleId="ae">
    <w:name w:val="ТАБЛИЦА_Исх"/>
    <w:basedOn w:val="a3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1">
    <w:name w:val="Заголовок 1 Знак"/>
    <w:link w:val="10"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"/>
    <w:link w:val="20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f">
    <w:name w:val="caption"/>
    <w:basedOn w:val="a3"/>
    <w:next w:val="a3"/>
    <w:uiPriority w:val="35"/>
    <w:semiHidden/>
    <w:qFormat/>
    <w:rsid w:val="00511A6B"/>
    <w:rPr>
      <w:b/>
      <w:bCs/>
      <w:sz w:val="20"/>
      <w:szCs w:val="20"/>
    </w:rPr>
  </w:style>
  <w:style w:type="paragraph" w:styleId="af0">
    <w:name w:val="Title"/>
    <w:basedOn w:val="a3"/>
    <w:next w:val="a3"/>
    <w:link w:val="af1"/>
    <w:uiPriority w:val="99"/>
    <w:qFormat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uiPriority w:val="99"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f2">
    <w:name w:val="Subtitle"/>
    <w:basedOn w:val="a3"/>
    <w:next w:val="a3"/>
    <w:link w:val="af3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link w:val="af2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4">
    <w:name w:val="АДРЕСАТ_Исх"/>
    <w:basedOn w:val="a3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5">
    <w:name w:val="Emphasis"/>
    <w:uiPriority w:val="20"/>
    <w:semiHidden/>
    <w:rsid w:val="00511A6B"/>
    <w:rPr>
      <w:i/>
      <w:iCs/>
    </w:rPr>
  </w:style>
  <w:style w:type="paragraph" w:styleId="af6">
    <w:name w:val="No Spacing"/>
    <w:basedOn w:val="a3"/>
    <w:uiPriority w:val="1"/>
    <w:semiHidden/>
    <w:rsid w:val="00511A6B"/>
    <w:pPr>
      <w:spacing w:after="0" w:line="240" w:lineRule="auto"/>
    </w:pPr>
  </w:style>
  <w:style w:type="paragraph" w:customStyle="1" w:styleId="af7">
    <w:name w:val="ТЕМА ПИСЬМА_Исх"/>
    <w:basedOn w:val="a3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8">
    <w:name w:val="ЗАГОЛОВОК ПИСЬМА_Исх"/>
    <w:basedOn w:val="a3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9">
    <w:name w:val="ТЕКСТ ПИСЬМА_Исх"/>
    <w:basedOn w:val="a3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2">
    <w:name w:val="ПОДПИСАНТ1_Исх"/>
    <w:basedOn w:val="a3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2">
    <w:name w:val="ПОДПИСАНТ2_Исх"/>
    <w:basedOn w:val="a3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a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b">
    <w:name w:val="ИСПОЛНИТЕЛЬ_Исх"/>
    <w:basedOn w:val="a3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10">
    <w:name w:val="07 НУМЕРАЦИЯ В ТЕКСТЕ 1.0"/>
    <w:link w:val="07100"/>
    <w:qFormat/>
    <w:rsid w:val="00EB25B3"/>
    <w:pPr>
      <w:numPr>
        <w:numId w:val="3"/>
      </w:numPr>
      <w:tabs>
        <w:tab w:val="left" w:pos="284"/>
      </w:tabs>
      <w:spacing w:after="283"/>
      <w:ind w:left="0" w:firstLine="0"/>
    </w:pPr>
    <w:rPr>
      <w:rFonts w:ascii="Arial" w:hAnsi="Arial" w:cs="Arial"/>
      <w:b/>
      <w:szCs w:val="22"/>
      <w:lang w:eastAsia="en-US"/>
    </w:rPr>
  </w:style>
  <w:style w:type="character" w:customStyle="1" w:styleId="051">
    <w:name w:val="05 ТЕКСТ ДОКУМЕНТА Знак"/>
    <w:link w:val="050"/>
    <w:rsid w:val="002B74B3"/>
    <w:rPr>
      <w:rFonts w:ascii="Arial" w:hAnsi="Arial" w:cs="Arial"/>
      <w:szCs w:val="22"/>
      <w:lang w:eastAsia="en-US"/>
    </w:rPr>
  </w:style>
  <w:style w:type="character" w:customStyle="1" w:styleId="07100">
    <w:name w:val="07 НУМЕРАЦИЯ В ТЕКСТЕ 1.0 Знак"/>
    <w:link w:val="0710"/>
    <w:rsid w:val="00EB25B3"/>
    <w:rPr>
      <w:rFonts w:ascii="Arial" w:hAnsi="Arial" w:cs="Arial"/>
      <w:b/>
      <w:szCs w:val="22"/>
      <w:lang w:eastAsia="en-US"/>
    </w:rPr>
  </w:style>
  <w:style w:type="paragraph" w:styleId="afc">
    <w:name w:val="TOC Heading"/>
    <w:basedOn w:val="10"/>
    <w:next w:val="a3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EB25B3"/>
    <w:pPr>
      <w:spacing w:before="60" w:after="60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EB25B3"/>
    <w:rPr>
      <w:rFonts w:ascii="Arial" w:eastAsia="Times New Roman" w:hAnsi="Arial" w:cs="Arial"/>
      <w:szCs w:val="22"/>
      <w:lang w:eastAsia="en-US"/>
    </w:rPr>
  </w:style>
  <w:style w:type="character" w:styleId="afd">
    <w:name w:val="Hyperlink"/>
    <w:uiPriority w:val="99"/>
    <w:rsid w:val="006F68CC"/>
    <w:rPr>
      <w:color w:val="0000FF"/>
      <w:u w:val="single"/>
    </w:rPr>
  </w:style>
  <w:style w:type="paragraph" w:customStyle="1" w:styleId="00">
    <w:name w:val="00 ГРИФ УТВЕРЖДЕНИЯ"/>
    <w:rsid w:val="007351EA"/>
    <w:pPr>
      <w:ind w:right="-58"/>
      <w:jc w:val="both"/>
    </w:pPr>
    <w:rPr>
      <w:rFonts w:ascii="Arial" w:eastAsia="Times New Roman" w:hAnsi="Arial" w:cs="Arial"/>
      <w:b/>
      <w:bCs/>
      <w:lang w:eastAsia="en-US"/>
    </w:rPr>
  </w:style>
  <w:style w:type="paragraph" w:customStyle="1" w:styleId="afe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f">
    <w:name w:val="РЕКВИЗИТЫ"/>
    <w:rsid w:val="0044543E"/>
    <w:pPr>
      <w:jc w:val="center"/>
    </w:pPr>
    <w:rPr>
      <w:rFonts w:ascii="Arial" w:hAnsi="Arial" w:cs="Arial"/>
      <w:b/>
      <w:sz w:val="22"/>
      <w:szCs w:val="22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711">
    <w:name w:val="07а НУМЕРАЦИЯ В ТЕКСТЕ 1.1"/>
    <w:rsid w:val="00DA60A3"/>
    <w:pPr>
      <w:numPr>
        <w:ilvl w:val="1"/>
        <w:numId w:val="3"/>
      </w:numPr>
      <w:tabs>
        <w:tab w:val="left" w:pos="567"/>
      </w:tabs>
      <w:spacing w:after="284"/>
      <w:ind w:left="142" w:firstLine="0"/>
    </w:pPr>
    <w:rPr>
      <w:rFonts w:ascii="Arial" w:hAnsi="Arial" w:cs="Arial"/>
      <w:b/>
      <w:szCs w:val="22"/>
      <w:lang w:eastAsia="en-US"/>
    </w:rPr>
  </w:style>
  <w:style w:type="numbering" w:customStyle="1" w:styleId="1">
    <w:name w:val="Стиль1"/>
    <w:uiPriority w:val="99"/>
    <w:rsid w:val="00C7396E"/>
    <w:pPr>
      <w:numPr>
        <w:numId w:val="2"/>
      </w:numPr>
    </w:pPr>
  </w:style>
  <w:style w:type="paragraph" w:customStyle="1" w:styleId="07111">
    <w:name w:val="07б НУМЕРАЦИЯ В ТЕКСТЕ 1.1.1"/>
    <w:rsid w:val="00612F22"/>
    <w:pPr>
      <w:numPr>
        <w:ilvl w:val="2"/>
        <w:numId w:val="3"/>
      </w:numPr>
      <w:tabs>
        <w:tab w:val="left" w:pos="993"/>
      </w:tabs>
      <w:spacing w:after="284"/>
      <w:ind w:left="284" w:firstLine="0"/>
    </w:pPr>
    <w:rPr>
      <w:rFonts w:ascii="Arial" w:hAnsi="Arial" w:cs="Arial"/>
      <w:szCs w:val="22"/>
      <w:lang w:eastAsia="en-US"/>
    </w:rPr>
  </w:style>
  <w:style w:type="paragraph" w:customStyle="1" w:styleId="071111">
    <w:name w:val="07в НУМЕРАЦИЯ В ТЕКСТЕ 1.1.1.1"/>
    <w:rsid w:val="00303DB1"/>
    <w:pPr>
      <w:numPr>
        <w:ilvl w:val="3"/>
        <w:numId w:val="3"/>
      </w:numPr>
      <w:tabs>
        <w:tab w:val="left" w:pos="1276"/>
      </w:tabs>
      <w:spacing w:after="284"/>
      <w:ind w:left="426" w:hanging="1"/>
    </w:pPr>
    <w:rPr>
      <w:rFonts w:ascii="Arial" w:hAnsi="Arial" w:cs="Arial"/>
      <w:szCs w:val="22"/>
      <w:lang w:eastAsia="en-US"/>
    </w:rPr>
  </w:style>
  <w:style w:type="paragraph" w:customStyle="1" w:styleId="0711111">
    <w:name w:val="07г НУМЕРАЦИЯ В ТЕКСТЕ 1.1.1.1.1"/>
    <w:rsid w:val="00303DB1"/>
    <w:pPr>
      <w:numPr>
        <w:ilvl w:val="4"/>
        <w:numId w:val="3"/>
      </w:numPr>
      <w:tabs>
        <w:tab w:val="left" w:pos="1560"/>
      </w:tabs>
      <w:spacing w:after="284"/>
      <w:ind w:left="567" w:firstLine="0"/>
    </w:pPr>
    <w:rPr>
      <w:rFonts w:ascii="Arial" w:hAnsi="Arial" w:cs="Arial"/>
      <w:szCs w:val="22"/>
      <w:lang w:eastAsia="en-US"/>
    </w:rPr>
  </w:style>
  <w:style w:type="paragraph" w:customStyle="1" w:styleId="08">
    <w:name w:val="08 МАРКИРОВАННЫЙ СПИСОК"/>
    <w:rsid w:val="000E3FE4"/>
    <w:pPr>
      <w:numPr>
        <w:numId w:val="4"/>
      </w:numPr>
      <w:tabs>
        <w:tab w:val="left" w:pos="567"/>
      </w:tabs>
      <w:spacing w:after="284"/>
      <w:ind w:left="567" w:hanging="284"/>
    </w:pPr>
    <w:rPr>
      <w:rFonts w:ascii="Arial" w:hAnsi="Arial" w:cs="Arial"/>
      <w:szCs w:val="22"/>
      <w:lang w:eastAsia="en-US"/>
    </w:rPr>
  </w:style>
  <w:style w:type="paragraph" w:customStyle="1" w:styleId="09-1">
    <w:name w:val="09 НУМЕРАЦИЯ РАЗДЕЛ-ПУНКТЫ 1"/>
    <w:rsid w:val="00D23FBE"/>
    <w:pPr>
      <w:numPr>
        <w:numId w:val="5"/>
      </w:numPr>
      <w:tabs>
        <w:tab w:val="left" w:pos="1134"/>
      </w:tabs>
      <w:spacing w:after="284"/>
      <w:ind w:left="0" w:firstLine="0"/>
    </w:pPr>
    <w:rPr>
      <w:rFonts w:ascii="Arial" w:hAnsi="Arial" w:cs="Arial"/>
      <w:b/>
      <w:szCs w:val="22"/>
      <w:lang w:eastAsia="en-US"/>
    </w:rPr>
  </w:style>
  <w:style w:type="paragraph" w:customStyle="1" w:styleId="09-10">
    <w:name w:val="09 НУМЕРАЦИЯ РАЗДЕЛ-ПУНКТЫ 1.0"/>
    <w:rsid w:val="00BD4C3B"/>
    <w:pPr>
      <w:numPr>
        <w:numId w:val="7"/>
      </w:numPr>
      <w:tabs>
        <w:tab w:val="left" w:pos="284"/>
      </w:tabs>
      <w:spacing w:after="284"/>
    </w:pPr>
    <w:rPr>
      <w:rFonts w:ascii="Arial" w:eastAsia="Times New Roman" w:hAnsi="Arial" w:cs="Arial"/>
      <w:bCs/>
      <w:lang w:eastAsia="en-US"/>
    </w:rPr>
  </w:style>
  <w:style w:type="numbering" w:customStyle="1" w:styleId="2">
    <w:name w:val="Стиль2"/>
    <w:uiPriority w:val="99"/>
    <w:rsid w:val="00260F70"/>
    <w:pPr>
      <w:numPr>
        <w:numId w:val="6"/>
      </w:numPr>
    </w:pPr>
  </w:style>
  <w:style w:type="paragraph" w:customStyle="1" w:styleId="09-11">
    <w:name w:val="09 НУМЕРАЦИЯ РАЗДЕЛ-ПУНКТЫ 1.1"/>
    <w:rsid w:val="00BD4C3B"/>
    <w:pPr>
      <w:numPr>
        <w:ilvl w:val="1"/>
        <w:numId w:val="7"/>
      </w:numPr>
      <w:tabs>
        <w:tab w:val="left" w:pos="709"/>
      </w:tabs>
      <w:spacing w:after="284"/>
    </w:pPr>
    <w:rPr>
      <w:rFonts w:ascii="Arial" w:hAnsi="Arial" w:cs="Arial"/>
      <w:szCs w:val="22"/>
      <w:lang w:eastAsia="en-US"/>
    </w:rPr>
  </w:style>
  <w:style w:type="paragraph" w:customStyle="1" w:styleId="09-111">
    <w:name w:val="09 НУМЕРАЦИЯ РАЗДЕЛ-ПУНКТЫ 1.1.1"/>
    <w:rsid w:val="00BD4C3B"/>
    <w:pPr>
      <w:numPr>
        <w:ilvl w:val="2"/>
        <w:numId w:val="7"/>
      </w:numPr>
      <w:tabs>
        <w:tab w:val="left" w:pos="993"/>
      </w:tabs>
      <w:spacing w:after="284"/>
    </w:pPr>
    <w:rPr>
      <w:rFonts w:ascii="Arial" w:hAnsi="Arial" w:cs="Arial"/>
      <w:szCs w:val="22"/>
      <w:lang w:eastAsia="en-US"/>
    </w:rPr>
  </w:style>
  <w:style w:type="paragraph" w:customStyle="1" w:styleId="09-1111">
    <w:name w:val="09 НУМЕРАЦИЯ РАЗДЕЛ-ПУНКТЫ 1.1.1.1"/>
    <w:rsid w:val="00BD4C3B"/>
    <w:pPr>
      <w:numPr>
        <w:ilvl w:val="3"/>
        <w:numId w:val="7"/>
      </w:numPr>
      <w:tabs>
        <w:tab w:val="left" w:pos="1276"/>
      </w:tabs>
      <w:spacing w:after="284"/>
    </w:pPr>
    <w:rPr>
      <w:rFonts w:ascii="Arial" w:hAnsi="Arial" w:cs="Arial"/>
      <w:szCs w:val="22"/>
      <w:lang w:eastAsia="en-US"/>
    </w:rPr>
  </w:style>
  <w:style w:type="paragraph" w:styleId="23">
    <w:name w:val="toc 2"/>
    <w:basedOn w:val="a3"/>
    <w:next w:val="a3"/>
    <w:autoRedefine/>
    <w:uiPriority w:val="39"/>
    <w:rsid w:val="008F1309"/>
    <w:pPr>
      <w:ind w:left="220"/>
    </w:pPr>
  </w:style>
  <w:style w:type="paragraph" w:styleId="13">
    <w:name w:val="toc 1"/>
    <w:basedOn w:val="a3"/>
    <w:next w:val="a3"/>
    <w:autoRedefine/>
    <w:uiPriority w:val="39"/>
    <w:rsid w:val="007C52D6"/>
    <w:pPr>
      <w:tabs>
        <w:tab w:val="left" w:pos="993"/>
        <w:tab w:val="right" w:leader="dot" w:pos="9344"/>
      </w:tabs>
      <w:spacing w:after="120" w:line="240" w:lineRule="auto"/>
    </w:pPr>
    <w:rPr>
      <w:rFonts w:ascii="Arial" w:hAnsi="Arial"/>
      <w:sz w:val="20"/>
    </w:rPr>
  </w:style>
  <w:style w:type="paragraph" w:styleId="31">
    <w:name w:val="toc 3"/>
    <w:basedOn w:val="a3"/>
    <w:next w:val="a3"/>
    <w:autoRedefine/>
    <w:uiPriority w:val="39"/>
    <w:rsid w:val="008F1309"/>
    <w:pPr>
      <w:ind w:left="440"/>
    </w:pPr>
  </w:style>
  <w:style w:type="paragraph" w:styleId="41">
    <w:name w:val="toc 4"/>
    <w:basedOn w:val="a3"/>
    <w:next w:val="a3"/>
    <w:autoRedefine/>
    <w:uiPriority w:val="39"/>
    <w:rsid w:val="008F1309"/>
    <w:pPr>
      <w:ind w:left="660"/>
    </w:pPr>
  </w:style>
  <w:style w:type="paragraph" w:styleId="51">
    <w:name w:val="toc 5"/>
    <w:basedOn w:val="a3"/>
    <w:next w:val="a3"/>
    <w:autoRedefine/>
    <w:uiPriority w:val="39"/>
    <w:rsid w:val="008F1309"/>
    <w:pPr>
      <w:ind w:left="880"/>
    </w:pPr>
  </w:style>
  <w:style w:type="numbering" w:customStyle="1" w:styleId="14">
    <w:name w:val="Нет списка1"/>
    <w:next w:val="a6"/>
    <w:semiHidden/>
    <w:rsid w:val="000A4EA3"/>
  </w:style>
  <w:style w:type="character" w:styleId="aff0">
    <w:name w:val="page number"/>
    <w:basedOn w:val="a4"/>
    <w:rsid w:val="000A4EA3"/>
  </w:style>
  <w:style w:type="paragraph" w:customStyle="1" w:styleId="a1">
    <w:name w:val="Подпункт договора"/>
    <w:basedOn w:val="a3"/>
    <w:rsid w:val="000A4EA3"/>
    <w:pPr>
      <w:numPr>
        <w:ilvl w:val="2"/>
        <w:numId w:val="8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2">
    <w:name w:val="Подподпункт договора"/>
    <w:basedOn w:val="a1"/>
    <w:rsid w:val="000A4EA3"/>
    <w:pPr>
      <w:numPr>
        <w:ilvl w:val="3"/>
      </w:numPr>
      <w:tabs>
        <w:tab w:val="clear" w:pos="1062"/>
        <w:tab w:val="num" w:pos="360"/>
      </w:tabs>
      <w:ind w:left="720"/>
    </w:pPr>
  </w:style>
  <w:style w:type="paragraph" w:customStyle="1" w:styleId="a0">
    <w:name w:val="Пункт договора"/>
    <w:basedOn w:val="a3"/>
    <w:rsid w:val="000A4EA3"/>
    <w:pPr>
      <w:widowControl w:val="0"/>
      <w:numPr>
        <w:ilvl w:val="1"/>
        <w:numId w:val="8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">
    <w:name w:val="Раздел договора"/>
    <w:basedOn w:val="a3"/>
    <w:next w:val="a0"/>
    <w:rsid w:val="000A4EA3"/>
    <w:pPr>
      <w:keepNext/>
      <w:keepLines/>
      <w:widowControl w:val="0"/>
      <w:numPr>
        <w:numId w:val="8"/>
      </w:numPr>
      <w:spacing w:before="240" w:line="240" w:lineRule="auto"/>
      <w:ind w:left="1406"/>
    </w:pPr>
    <w:rPr>
      <w:rFonts w:ascii="Arial" w:eastAsia="Times New Roman" w:hAnsi="Arial"/>
      <w:b/>
      <w:caps/>
      <w:sz w:val="20"/>
      <w:szCs w:val="20"/>
      <w:lang w:eastAsia="ru-RU"/>
    </w:rPr>
  </w:style>
  <w:style w:type="table" w:customStyle="1" w:styleId="15">
    <w:name w:val="Сетка таблицы1"/>
    <w:basedOn w:val="a5"/>
    <w:next w:val="ab"/>
    <w:rsid w:val="000A4E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uiPriority w:val="99"/>
    <w:semiHidden/>
    <w:rsid w:val="000A4EA3"/>
    <w:rPr>
      <w:sz w:val="16"/>
      <w:szCs w:val="16"/>
    </w:rPr>
  </w:style>
  <w:style w:type="paragraph" w:styleId="aff2">
    <w:name w:val="annotation text"/>
    <w:basedOn w:val="a3"/>
    <w:link w:val="aff3"/>
    <w:uiPriority w:val="99"/>
    <w:semiHidden/>
    <w:rsid w:val="000A4E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0A4EA3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semiHidden/>
    <w:rsid w:val="000A4EA3"/>
    <w:rPr>
      <w:b/>
      <w:bCs/>
    </w:rPr>
  </w:style>
  <w:style w:type="character" w:customStyle="1" w:styleId="aff5">
    <w:name w:val="Тема примечания Знак"/>
    <w:link w:val="aff4"/>
    <w:semiHidden/>
    <w:rsid w:val="000A4EA3"/>
    <w:rPr>
      <w:rFonts w:ascii="Times New Roman" w:eastAsia="Times New Roman" w:hAnsi="Times New Roman"/>
      <w:b/>
      <w:bCs/>
    </w:rPr>
  </w:style>
  <w:style w:type="paragraph" w:customStyle="1" w:styleId="aff6">
    <w:name w:val="Текстовый"/>
    <w:rsid w:val="000A4EA3"/>
    <w:pPr>
      <w:widowControl w:val="0"/>
      <w:jc w:val="both"/>
    </w:pPr>
    <w:rPr>
      <w:rFonts w:ascii="Arial" w:eastAsia="Times New Roman" w:hAnsi="Arial"/>
    </w:rPr>
  </w:style>
  <w:style w:type="paragraph" w:styleId="aff7">
    <w:name w:val="Document Map"/>
    <w:basedOn w:val="a3"/>
    <w:link w:val="aff8"/>
    <w:semiHidden/>
    <w:rsid w:val="000A4EA3"/>
    <w:pPr>
      <w:shd w:val="clear" w:color="auto" w:fill="000080"/>
      <w:spacing w:after="0" w:line="240" w:lineRule="auto"/>
    </w:pPr>
    <w:rPr>
      <w:rFonts w:eastAsia="Times New Roman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0A4EA3"/>
    <w:rPr>
      <w:rFonts w:eastAsia="Times New Roman" w:cs="Tahoma"/>
      <w:shd w:val="clear" w:color="auto" w:fill="000080"/>
    </w:rPr>
  </w:style>
  <w:style w:type="paragraph" w:styleId="aff9">
    <w:name w:val="List Paragraph"/>
    <w:basedOn w:val="a3"/>
    <w:link w:val="affa"/>
    <w:uiPriority w:val="34"/>
    <w:qFormat/>
    <w:rsid w:val="000A4EA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A4EA3"/>
  </w:style>
  <w:style w:type="paragraph" w:styleId="affb">
    <w:name w:val="footnote text"/>
    <w:basedOn w:val="a3"/>
    <w:link w:val="affc"/>
    <w:uiPriority w:val="99"/>
    <w:semiHidden/>
    <w:rsid w:val="008B587D"/>
    <w:rPr>
      <w:sz w:val="20"/>
      <w:szCs w:val="20"/>
    </w:rPr>
  </w:style>
  <w:style w:type="character" w:customStyle="1" w:styleId="affc">
    <w:name w:val="Текст сноски Знак"/>
    <w:link w:val="affb"/>
    <w:uiPriority w:val="99"/>
    <w:semiHidden/>
    <w:rsid w:val="008B587D"/>
    <w:rPr>
      <w:lang w:eastAsia="en-US"/>
    </w:rPr>
  </w:style>
  <w:style w:type="character" w:styleId="affd">
    <w:name w:val="footnote reference"/>
    <w:semiHidden/>
    <w:rsid w:val="008B587D"/>
    <w:rPr>
      <w:vertAlign w:val="superscript"/>
    </w:rPr>
  </w:style>
  <w:style w:type="paragraph" w:customStyle="1" w:styleId="100">
    <w:name w:val="10 ТЕКСТ СНОСКИ"/>
    <w:basedOn w:val="affb"/>
    <w:rsid w:val="00D2265D"/>
    <w:pPr>
      <w:spacing w:after="60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character" w:customStyle="1" w:styleId="affa">
    <w:name w:val="Абзац списка Знак"/>
    <w:link w:val="aff9"/>
    <w:uiPriority w:val="34"/>
    <w:rsid w:val="00A24731"/>
    <w:rPr>
      <w:rFonts w:ascii="Times New Roman" w:eastAsia="Times New Roman" w:hAnsi="Times New Roman"/>
      <w:sz w:val="24"/>
      <w:szCs w:val="24"/>
    </w:rPr>
  </w:style>
  <w:style w:type="character" w:customStyle="1" w:styleId="SUBST">
    <w:name w:val="__SUBST"/>
    <w:uiPriority w:val="99"/>
    <w:rsid w:val="00DA60A3"/>
    <w:rPr>
      <w:b/>
      <w:i/>
      <w:sz w:val="22"/>
    </w:rPr>
  </w:style>
  <w:style w:type="table" w:customStyle="1" w:styleId="24">
    <w:name w:val="Сетка таблицы2"/>
    <w:basedOn w:val="a5"/>
    <w:next w:val="ab"/>
    <w:uiPriority w:val="59"/>
    <w:rsid w:val="00DA60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11 № ТАБЛИЦы"/>
    <w:rsid w:val="00DA60A3"/>
    <w:pPr>
      <w:jc w:val="right"/>
    </w:pPr>
    <w:rPr>
      <w:rFonts w:ascii="Arial" w:hAnsi="Arial" w:cs="Arial"/>
      <w:i/>
      <w:szCs w:val="22"/>
    </w:rPr>
  </w:style>
  <w:style w:type="table" w:customStyle="1" w:styleId="32">
    <w:name w:val="Сетка таблицы3"/>
    <w:basedOn w:val="a5"/>
    <w:next w:val="ab"/>
    <w:uiPriority w:val="59"/>
    <w:rsid w:val="00DA60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Revision"/>
    <w:hidden/>
    <w:uiPriority w:val="99"/>
    <w:semiHidden/>
    <w:rsid w:val="009D3FCA"/>
    <w:rPr>
      <w:sz w:val="22"/>
      <w:szCs w:val="22"/>
      <w:lang w:eastAsia="en-US"/>
    </w:rPr>
  </w:style>
  <w:style w:type="character" w:customStyle="1" w:styleId="itemtext1">
    <w:name w:val="itemtext1"/>
    <w:basedOn w:val="a4"/>
    <w:rsid w:val="00F97465"/>
    <w:rPr>
      <w:rFonts w:ascii="Segoe UI" w:hAnsi="Segoe UI" w:cs="Segoe UI" w:hint="default"/>
      <w:color w:val="000000"/>
      <w:sz w:val="20"/>
      <w:szCs w:val="20"/>
    </w:rPr>
  </w:style>
  <w:style w:type="character" w:customStyle="1" w:styleId="w">
    <w:name w:val="w"/>
    <w:basedOn w:val="a4"/>
    <w:rsid w:val="00AE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0" w:unhideWhenUsed="1"/>
    <w:lsdException w:name="caption" w:uiPriority="35" w:unhideWhenUsed="1" w:qFormat="1"/>
    <w:lsdException w:name="footnote reference" w:uiPriority="0"/>
    <w:lsdException w:name="page number" w:uiPriority="0"/>
    <w:lsdException w:name="Title" w:semiHidden="0" w:qFormat="1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Document Map" w:uiPriority="0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3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3"/>
    <w:next w:val="a3"/>
    <w:link w:val="11"/>
    <w:qFormat/>
    <w:rsid w:val="00511A6B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3"/>
    <w:next w:val="a3"/>
    <w:link w:val="21"/>
    <w:uiPriority w:val="9"/>
    <w:semiHidden/>
    <w:rsid w:val="00511A6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qFormat/>
    <w:rsid w:val="00511A6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qFormat/>
    <w:rsid w:val="00511A6B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semiHidden/>
    <w:qFormat/>
    <w:rsid w:val="00511A6B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semiHidden/>
    <w:qFormat/>
    <w:rsid w:val="00511A6B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3"/>
    <w:next w:val="a3"/>
    <w:link w:val="70"/>
    <w:uiPriority w:val="9"/>
    <w:semiHidden/>
    <w:qFormat/>
    <w:rsid w:val="00511A6B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3"/>
    <w:next w:val="a3"/>
    <w:link w:val="80"/>
    <w:uiPriority w:val="9"/>
    <w:semiHidden/>
    <w:qFormat/>
    <w:rsid w:val="00511A6B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3"/>
    <w:next w:val="a3"/>
    <w:link w:val="90"/>
    <w:uiPriority w:val="9"/>
    <w:semiHidden/>
    <w:qFormat/>
    <w:rsid w:val="00511A6B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02BBD"/>
    <w:rPr>
      <w:sz w:val="22"/>
      <w:szCs w:val="22"/>
      <w:lang w:eastAsia="en-US"/>
    </w:rPr>
  </w:style>
  <w:style w:type="paragraph" w:styleId="a9">
    <w:name w:val="footer"/>
    <w:basedOn w:val="a3"/>
    <w:link w:val="aa"/>
    <w:rsid w:val="00282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2BBD"/>
    <w:rPr>
      <w:sz w:val="22"/>
      <w:szCs w:val="22"/>
      <w:lang w:eastAsia="en-US"/>
    </w:rPr>
  </w:style>
  <w:style w:type="table" w:styleId="ab">
    <w:name w:val="Table Grid"/>
    <w:basedOn w:val="a5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3"/>
    <w:link w:val="ad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5">
    <w:name w:val="05 ЗАГОЛОВОК Доп"/>
    <w:rsid w:val="0044543E"/>
    <w:pPr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04">
    <w:name w:val="04 ЗАГОЛОВОК Осн"/>
    <w:qFormat/>
    <w:rsid w:val="00AC544E"/>
    <w:pPr>
      <w:spacing w:before="1800"/>
      <w:jc w:val="center"/>
    </w:pPr>
    <w:rPr>
      <w:rFonts w:ascii="Arial" w:eastAsia="Times New Roman" w:hAnsi="Arial" w:cs="Arial"/>
      <w:b/>
      <w:sz w:val="40"/>
      <w:szCs w:val="40"/>
    </w:rPr>
  </w:style>
  <w:style w:type="paragraph" w:customStyle="1" w:styleId="050">
    <w:name w:val="05 ТЕКСТ ДОКУМЕНТА"/>
    <w:link w:val="051"/>
    <w:qFormat/>
    <w:rsid w:val="002B74B3"/>
    <w:pPr>
      <w:spacing w:after="283"/>
      <w:ind w:firstLine="284"/>
    </w:pPr>
    <w:rPr>
      <w:rFonts w:ascii="Arial" w:hAnsi="Arial" w:cs="Arial"/>
      <w:szCs w:val="22"/>
      <w:lang w:eastAsia="en-US"/>
    </w:rPr>
  </w:style>
  <w:style w:type="paragraph" w:customStyle="1" w:styleId="ae">
    <w:name w:val="ТАБЛИЦА_Исх"/>
    <w:basedOn w:val="a3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1">
    <w:name w:val="Заголовок 1 Знак"/>
    <w:link w:val="10"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"/>
    <w:link w:val="20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f">
    <w:name w:val="caption"/>
    <w:basedOn w:val="a3"/>
    <w:next w:val="a3"/>
    <w:uiPriority w:val="35"/>
    <w:semiHidden/>
    <w:qFormat/>
    <w:rsid w:val="00511A6B"/>
    <w:rPr>
      <w:b/>
      <w:bCs/>
      <w:sz w:val="20"/>
      <w:szCs w:val="20"/>
    </w:rPr>
  </w:style>
  <w:style w:type="paragraph" w:styleId="af0">
    <w:name w:val="Title"/>
    <w:basedOn w:val="a3"/>
    <w:next w:val="a3"/>
    <w:link w:val="af1"/>
    <w:uiPriority w:val="99"/>
    <w:qFormat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uiPriority w:val="99"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f2">
    <w:name w:val="Subtitle"/>
    <w:basedOn w:val="a3"/>
    <w:next w:val="a3"/>
    <w:link w:val="af3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link w:val="af2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4">
    <w:name w:val="АДРЕСАТ_Исх"/>
    <w:basedOn w:val="a3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5">
    <w:name w:val="Emphasis"/>
    <w:uiPriority w:val="20"/>
    <w:semiHidden/>
    <w:rsid w:val="00511A6B"/>
    <w:rPr>
      <w:i/>
      <w:iCs/>
    </w:rPr>
  </w:style>
  <w:style w:type="paragraph" w:styleId="af6">
    <w:name w:val="No Spacing"/>
    <w:basedOn w:val="a3"/>
    <w:uiPriority w:val="1"/>
    <w:semiHidden/>
    <w:rsid w:val="00511A6B"/>
    <w:pPr>
      <w:spacing w:after="0" w:line="240" w:lineRule="auto"/>
    </w:pPr>
  </w:style>
  <w:style w:type="paragraph" w:customStyle="1" w:styleId="af7">
    <w:name w:val="ТЕМА ПИСЬМА_Исх"/>
    <w:basedOn w:val="a3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8">
    <w:name w:val="ЗАГОЛОВОК ПИСЬМА_Исх"/>
    <w:basedOn w:val="a3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9">
    <w:name w:val="ТЕКСТ ПИСЬМА_Исх"/>
    <w:basedOn w:val="a3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2">
    <w:name w:val="ПОДПИСАНТ1_Исх"/>
    <w:basedOn w:val="a3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2">
    <w:name w:val="ПОДПИСАНТ2_Исх"/>
    <w:basedOn w:val="a3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a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b">
    <w:name w:val="ИСПОЛНИТЕЛЬ_Исх"/>
    <w:basedOn w:val="a3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10">
    <w:name w:val="07 НУМЕРАЦИЯ В ТЕКСТЕ 1.0"/>
    <w:link w:val="07100"/>
    <w:qFormat/>
    <w:rsid w:val="00EB25B3"/>
    <w:pPr>
      <w:numPr>
        <w:numId w:val="3"/>
      </w:numPr>
      <w:tabs>
        <w:tab w:val="left" w:pos="284"/>
      </w:tabs>
      <w:spacing w:after="283"/>
      <w:ind w:left="0" w:firstLine="0"/>
    </w:pPr>
    <w:rPr>
      <w:rFonts w:ascii="Arial" w:hAnsi="Arial" w:cs="Arial"/>
      <w:b/>
      <w:szCs w:val="22"/>
      <w:lang w:eastAsia="en-US"/>
    </w:rPr>
  </w:style>
  <w:style w:type="character" w:customStyle="1" w:styleId="051">
    <w:name w:val="05 ТЕКСТ ДОКУМЕНТА Знак"/>
    <w:link w:val="050"/>
    <w:rsid w:val="002B74B3"/>
    <w:rPr>
      <w:rFonts w:ascii="Arial" w:hAnsi="Arial" w:cs="Arial"/>
      <w:szCs w:val="22"/>
      <w:lang w:eastAsia="en-US"/>
    </w:rPr>
  </w:style>
  <w:style w:type="character" w:customStyle="1" w:styleId="07100">
    <w:name w:val="07 НУМЕРАЦИЯ В ТЕКСТЕ 1.0 Знак"/>
    <w:link w:val="0710"/>
    <w:rsid w:val="00EB25B3"/>
    <w:rPr>
      <w:rFonts w:ascii="Arial" w:hAnsi="Arial" w:cs="Arial"/>
      <w:b/>
      <w:szCs w:val="22"/>
      <w:lang w:eastAsia="en-US"/>
    </w:rPr>
  </w:style>
  <w:style w:type="paragraph" w:styleId="afc">
    <w:name w:val="TOC Heading"/>
    <w:basedOn w:val="10"/>
    <w:next w:val="a3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EB25B3"/>
    <w:pPr>
      <w:spacing w:before="60" w:after="60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EB25B3"/>
    <w:rPr>
      <w:rFonts w:ascii="Arial" w:eastAsia="Times New Roman" w:hAnsi="Arial" w:cs="Arial"/>
      <w:szCs w:val="22"/>
      <w:lang w:eastAsia="en-US"/>
    </w:rPr>
  </w:style>
  <w:style w:type="character" w:styleId="afd">
    <w:name w:val="Hyperlink"/>
    <w:uiPriority w:val="99"/>
    <w:rsid w:val="006F68CC"/>
    <w:rPr>
      <w:color w:val="0000FF"/>
      <w:u w:val="single"/>
    </w:rPr>
  </w:style>
  <w:style w:type="paragraph" w:customStyle="1" w:styleId="00">
    <w:name w:val="00 ГРИФ УТВЕРЖДЕНИЯ"/>
    <w:rsid w:val="007351EA"/>
    <w:pPr>
      <w:ind w:right="-58"/>
      <w:jc w:val="both"/>
    </w:pPr>
    <w:rPr>
      <w:rFonts w:ascii="Arial" w:eastAsia="Times New Roman" w:hAnsi="Arial" w:cs="Arial"/>
      <w:b/>
      <w:bCs/>
      <w:lang w:eastAsia="en-US"/>
    </w:rPr>
  </w:style>
  <w:style w:type="paragraph" w:customStyle="1" w:styleId="afe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f">
    <w:name w:val="РЕКВИЗИТЫ"/>
    <w:rsid w:val="0044543E"/>
    <w:pPr>
      <w:jc w:val="center"/>
    </w:pPr>
    <w:rPr>
      <w:rFonts w:ascii="Arial" w:hAnsi="Arial" w:cs="Arial"/>
      <w:b/>
      <w:sz w:val="22"/>
      <w:szCs w:val="22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711">
    <w:name w:val="07а НУМЕРАЦИЯ В ТЕКСТЕ 1.1"/>
    <w:rsid w:val="00DA60A3"/>
    <w:pPr>
      <w:numPr>
        <w:ilvl w:val="1"/>
        <w:numId w:val="3"/>
      </w:numPr>
      <w:tabs>
        <w:tab w:val="left" w:pos="567"/>
      </w:tabs>
      <w:spacing w:after="284"/>
      <w:ind w:left="142" w:firstLine="0"/>
    </w:pPr>
    <w:rPr>
      <w:rFonts w:ascii="Arial" w:hAnsi="Arial" w:cs="Arial"/>
      <w:b/>
      <w:szCs w:val="22"/>
      <w:lang w:eastAsia="en-US"/>
    </w:rPr>
  </w:style>
  <w:style w:type="numbering" w:customStyle="1" w:styleId="1">
    <w:name w:val="Стиль1"/>
    <w:uiPriority w:val="99"/>
    <w:rsid w:val="00C7396E"/>
    <w:pPr>
      <w:numPr>
        <w:numId w:val="2"/>
      </w:numPr>
    </w:pPr>
  </w:style>
  <w:style w:type="paragraph" w:customStyle="1" w:styleId="07111">
    <w:name w:val="07б НУМЕРАЦИЯ В ТЕКСТЕ 1.1.1"/>
    <w:rsid w:val="00612F22"/>
    <w:pPr>
      <w:numPr>
        <w:ilvl w:val="2"/>
        <w:numId w:val="3"/>
      </w:numPr>
      <w:tabs>
        <w:tab w:val="left" w:pos="993"/>
      </w:tabs>
      <w:spacing w:after="284"/>
      <w:ind w:left="284" w:firstLine="0"/>
    </w:pPr>
    <w:rPr>
      <w:rFonts w:ascii="Arial" w:hAnsi="Arial" w:cs="Arial"/>
      <w:szCs w:val="22"/>
      <w:lang w:eastAsia="en-US"/>
    </w:rPr>
  </w:style>
  <w:style w:type="paragraph" w:customStyle="1" w:styleId="071111">
    <w:name w:val="07в НУМЕРАЦИЯ В ТЕКСТЕ 1.1.1.1"/>
    <w:rsid w:val="00303DB1"/>
    <w:pPr>
      <w:numPr>
        <w:ilvl w:val="3"/>
        <w:numId w:val="3"/>
      </w:numPr>
      <w:tabs>
        <w:tab w:val="left" w:pos="1276"/>
      </w:tabs>
      <w:spacing w:after="284"/>
      <w:ind w:left="426" w:hanging="1"/>
    </w:pPr>
    <w:rPr>
      <w:rFonts w:ascii="Arial" w:hAnsi="Arial" w:cs="Arial"/>
      <w:szCs w:val="22"/>
      <w:lang w:eastAsia="en-US"/>
    </w:rPr>
  </w:style>
  <w:style w:type="paragraph" w:customStyle="1" w:styleId="0711111">
    <w:name w:val="07г НУМЕРАЦИЯ В ТЕКСТЕ 1.1.1.1.1"/>
    <w:rsid w:val="00303DB1"/>
    <w:pPr>
      <w:numPr>
        <w:ilvl w:val="4"/>
        <w:numId w:val="3"/>
      </w:numPr>
      <w:tabs>
        <w:tab w:val="left" w:pos="1560"/>
      </w:tabs>
      <w:spacing w:after="284"/>
      <w:ind w:left="567" w:firstLine="0"/>
    </w:pPr>
    <w:rPr>
      <w:rFonts w:ascii="Arial" w:hAnsi="Arial" w:cs="Arial"/>
      <w:szCs w:val="22"/>
      <w:lang w:eastAsia="en-US"/>
    </w:rPr>
  </w:style>
  <w:style w:type="paragraph" w:customStyle="1" w:styleId="08">
    <w:name w:val="08 МАРКИРОВАННЫЙ СПИСОК"/>
    <w:rsid w:val="000E3FE4"/>
    <w:pPr>
      <w:numPr>
        <w:numId w:val="4"/>
      </w:numPr>
      <w:tabs>
        <w:tab w:val="left" w:pos="567"/>
      </w:tabs>
      <w:spacing w:after="284"/>
      <w:ind w:left="567" w:hanging="284"/>
    </w:pPr>
    <w:rPr>
      <w:rFonts w:ascii="Arial" w:hAnsi="Arial" w:cs="Arial"/>
      <w:szCs w:val="22"/>
      <w:lang w:eastAsia="en-US"/>
    </w:rPr>
  </w:style>
  <w:style w:type="paragraph" w:customStyle="1" w:styleId="09-1">
    <w:name w:val="09 НУМЕРАЦИЯ РАЗДЕЛ-ПУНКТЫ 1"/>
    <w:rsid w:val="00D23FBE"/>
    <w:pPr>
      <w:numPr>
        <w:numId w:val="5"/>
      </w:numPr>
      <w:tabs>
        <w:tab w:val="left" w:pos="1134"/>
      </w:tabs>
      <w:spacing w:after="284"/>
      <w:ind w:left="0" w:firstLine="0"/>
    </w:pPr>
    <w:rPr>
      <w:rFonts w:ascii="Arial" w:hAnsi="Arial" w:cs="Arial"/>
      <w:b/>
      <w:szCs w:val="22"/>
      <w:lang w:eastAsia="en-US"/>
    </w:rPr>
  </w:style>
  <w:style w:type="paragraph" w:customStyle="1" w:styleId="09-10">
    <w:name w:val="09 НУМЕРАЦИЯ РАЗДЕЛ-ПУНКТЫ 1.0"/>
    <w:rsid w:val="00BD4C3B"/>
    <w:pPr>
      <w:numPr>
        <w:numId w:val="7"/>
      </w:numPr>
      <w:tabs>
        <w:tab w:val="left" w:pos="284"/>
      </w:tabs>
      <w:spacing w:after="284"/>
    </w:pPr>
    <w:rPr>
      <w:rFonts w:ascii="Arial" w:eastAsia="Times New Roman" w:hAnsi="Arial" w:cs="Arial"/>
      <w:bCs/>
      <w:lang w:eastAsia="en-US"/>
    </w:rPr>
  </w:style>
  <w:style w:type="numbering" w:customStyle="1" w:styleId="2">
    <w:name w:val="Стиль2"/>
    <w:uiPriority w:val="99"/>
    <w:rsid w:val="00260F70"/>
    <w:pPr>
      <w:numPr>
        <w:numId w:val="6"/>
      </w:numPr>
    </w:pPr>
  </w:style>
  <w:style w:type="paragraph" w:customStyle="1" w:styleId="09-11">
    <w:name w:val="09 НУМЕРАЦИЯ РАЗДЕЛ-ПУНКТЫ 1.1"/>
    <w:rsid w:val="00BD4C3B"/>
    <w:pPr>
      <w:numPr>
        <w:ilvl w:val="1"/>
        <w:numId w:val="7"/>
      </w:numPr>
      <w:tabs>
        <w:tab w:val="left" w:pos="709"/>
      </w:tabs>
      <w:spacing w:after="284"/>
    </w:pPr>
    <w:rPr>
      <w:rFonts w:ascii="Arial" w:hAnsi="Arial" w:cs="Arial"/>
      <w:szCs w:val="22"/>
      <w:lang w:eastAsia="en-US"/>
    </w:rPr>
  </w:style>
  <w:style w:type="paragraph" w:customStyle="1" w:styleId="09-111">
    <w:name w:val="09 НУМЕРАЦИЯ РАЗДЕЛ-ПУНКТЫ 1.1.1"/>
    <w:rsid w:val="00BD4C3B"/>
    <w:pPr>
      <w:numPr>
        <w:ilvl w:val="2"/>
        <w:numId w:val="7"/>
      </w:numPr>
      <w:tabs>
        <w:tab w:val="left" w:pos="993"/>
      </w:tabs>
      <w:spacing w:after="284"/>
    </w:pPr>
    <w:rPr>
      <w:rFonts w:ascii="Arial" w:hAnsi="Arial" w:cs="Arial"/>
      <w:szCs w:val="22"/>
      <w:lang w:eastAsia="en-US"/>
    </w:rPr>
  </w:style>
  <w:style w:type="paragraph" w:customStyle="1" w:styleId="09-1111">
    <w:name w:val="09 НУМЕРАЦИЯ РАЗДЕЛ-ПУНКТЫ 1.1.1.1"/>
    <w:rsid w:val="00BD4C3B"/>
    <w:pPr>
      <w:numPr>
        <w:ilvl w:val="3"/>
        <w:numId w:val="7"/>
      </w:numPr>
      <w:tabs>
        <w:tab w:val="left" w:pos="1276"/>
      </w:tabs>
      <w:spacing w:after="284"/>
    </w:pPr>
    <w:rPr>
      <w:rFonts w:ascii="Arial" w:hAnsi="Arial" w:cs="Arial"/>
      <w:szCs w:val="22"/>
      <w:lang w:eastAsia="en-US"/>
    </w:rPr>
  </w:style>
  <w:style w:type="paragraph" w:styleId="23">
    <w:name w:val="toc 2"/>
    <w:basedOn w:val="a3"/>
    <w:next w:val="a3"/>
    <w:autoRedefine/>
    <w:uiPriority w:val="39"/>
    <w:rsid w:val="008F1309"/>
    <w:pPr>
      <w:ind w:left="220"/>
    </w:pPr>
  </w:style>
  <w:style w:type="paragraph" w:styleId="13">
    <w:name w:val="toc 1"/>
    <w:basedOn w:val="a3"/>
    <w:next w:val="a3"/>
    <w:autoRedefine/>
    <w:uiPriority w:val="39"/>
    <w:rsid w:val="007C52D6"/>
    <w:pPr>
      <w:tabs>
        <w:tab w:val="left" w:pos="993"/>
        <w:tab w:val="right" w:leader="dot" w:pos="9344"/>
      </w:tabs>
      <w:spacing w:after="120" w:line="240" w:lineRule="auto"/>
    </w:pPr>
    <w:rPr>
      <w:rFonts w:ascii="Arial" w:hAnsi="Arial"/>
      <w:sz w:val="20"/>
    </w:rPr>
  </w:style>
  <w:style w:type="paragraph" w:styleId="31">
    <w:name w:val="toc 3"/>
    <w:basedOn w:val="a3"/>
    <w:next w:val="a3"/>
    <w:autoRedefine/>
    <w:uiPriority w:val="39"/>
    <w:rsid w:val="008F1309"/>
    <w:pPr>
      <w:ind w:left="440"/>
    </w:pPr>
  </w:style>
  <w:style w:type="paragraph" w:styleId="41">
    <w:name w:val="toc 4"/>
    <w:basedOn w:val="a3"/>
    <w:next w:val="a3"/>
    <w:autoRedefine/>
    <w:uiPriority w:val="39"/>
    <w:rsid w:val="008F1309"/>
    <w:pPr>
      <w:ind w:left="660"/>
    </w:pPr>
  </w:style>
  <w:style w:type="paragraph" w:styleId="51">
    <w:name w:val="toc 5"/>
    <w:basedOn w:val="a3"/>
    <w:next w:val="a3"/>
    <w:autoRedefine/>
    <w:uiPriority w:val="39"/>
    <w:rsid w:val="008F1309"/>
    <w:pPr>
      <w:ind w:left="880"/>
    </w:pPr>
  </w:style>
  <w:style w:type="numbering" w:customStyle="1" w:styleId="14">
    <w:name w:val="Нет списка1"/>
    <w:next w:val="a6"/>
    <w:semiHidden/>
    <w:rsid w:val="000A4EA3"/>
  </w:style>
  <w:style w:type="character" w:styleId="aff0">
    <w:name w:val="page number"/>
    <w:basedOn w:val="a4"/>
    <w:rsid w:val="000A4EA3"/>
  </w:style>
  <w:style w:type="paragraph" w:customStyle="1" w:styleId="a1">
    <w:name w:val="Подпункт договора"/>
    <w:basedOn w:val="a3"/>
    <w:rsid w:val="000A4EA3"/>
    <w:pPr>
      <w:numPr>
        <w:ilvl w:val="2"/>
        <w:numId w:val="8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2">
    <w:name w:val="Подподпункт договора"/>
    <w:basedOn w:val="a1"/>
    <w:rsid w:val="000A4EA3"/>
    <w:pPr>
      <w:numPr>
        <w:ilvl w:val="3"/>
      </w:numPr>
      <w:tabs>
        <w:tab w:val="clear" w:pos="1062"/>
        <w:tab w:val="num" w:pos="360"/>
      </w:tabs>
      <w:ind w:left="720"/>
    </w:pPr>
  </w:style>
  <w:style w:type="paragraph" w:customStyle="1" w:styleId="a0">
    <w:name w:val="Пункт договора"/>
    <w:basedOn w:val="a3"/>
    <w:rsid w:val="000A4EA3"/>
    <w:pPr>
      <w:widowControl w:val="0"/>
      <w:numPr>
        <w:ilvl w:val="1"/>
        <w:numId w:val="8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">
    <w:name w:val="Раздел договора"/>
    <w:basedOn w:val="a3"/>
    <w:next w:val="a0"/>
    <w:rsid w:val="000A4EA3"/>
    <w:pPr>
      <w:keepNext/>
      <w:keepLines/>
      <w:widowControl w:val="0"/>
      <w:numPr>
        <w:numId w:val="8"/>
      </w:numPr>
      <w:spacing w:before="240" w:line="240" w:lineRule="auto"/>
      <w:ind w:left="1406"/>
    </w:pPr>
    <w:rPr>
      <w:rFonts w:ascii="Arial" w:eastAsia="Times New Roman" w:hAnsi="Arial"/>
      <w:b/>
      <w:caps/>
      <w:sz w:val="20"/>
      <w:szCs w:val="20"/>
      <w:lang w:eastAsia="ru-RU"/>
    </w:rPr>
  </w:style>
  <w:style w:type="table" w:customStyle="1" w:styleId="15">
    <w:name w:val="Сетка таблицы1"/>
    <w:basedOn w:val="a5"/>
    <w:next w:val="ab"/>
    <w:rsid w:val="000A4E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uiPriority w:val="99"/>
    <w:semiHidden/>
    <w:rsid w:val="000A4EA3"/>
    <w:rPr>
      <w:sz w:val="16"/>
      <w:szCs w:val="16"/>
    </w:rPr>
  </w:style>
  <w:style w:type="paragraph" w:styleId="aff2">
    <w:name w:val="annotation text"/>
    <w:basedOn w:val="a3"/>
    <w:link w:val="aff3"/>
    <w:uiPriority w:val="99"/>
    <w:semiHidden/>
    <w:rsid w:val="000A4E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0A4EA3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semiHidden/>
    <w:rsid w:val="000A4EA3"/>
    <w:rPr>
      <w:b/>
      <w:bCs/>
    </w:rPr>
  </w:style>
  <w:style w:type="character" w:customStyle="1" w:styleId="aff5">
    <w:name w:val="Тема примечания Знак"/>
    <w:link w:val="aff4"/>
    <w:semiHidden/>
    <w:rsid w:val="000A4EA3"/>
    <w:rPr>
      <w:rFonts w:ascii="Times New Roman" w:eastAsia="Times New Roman" w:hAnsi="Times New Roman"/>
      <w:b/>
      <w:bCs/>
    </w:rPr>
  </w:style>
  <w:style w:type="paragraph" w:customStyle="1" w:styleId="aff6">
    <w:name w:val="Текстовый"/>
    <w:rsid w:val="000A4EA3"/>
    <w:pPr>
      <w:widowControl w:val="0"/>
      <w:jc w:val="both"/>
    </w:pPr>
    <w:rPr>
      <w:rFonts w:ascii="Arial" w:eastAsia="Times New Roman" w:hAnsi="Arial"/>
    </w:rPr>
  </w:style>
  <w:style w:type="paragraph" w:styleId="aff7">
    <w:name w:val="Document Map"/>
    <w:basedOn w:val="a3"/>
    <w:link w:val="aff8"/>
    <w:semiHidden/>
    <w:rsid w:val="000A4EA3"/>
    <w:pPr>
      <w:shd w:val="clear" w:color="auto" w:fill="000080"/>
      <w:spacing w:after="0" w:line="240" w:lineRule="auto"/>
    </w:pPr>
    <w:rPr>
      <w:rFonts w:eastAsia="Times New Roman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0A4EA3"/>
    <w:rPr>
      <w:rFonts w:eastAsia="Times New Roman" w:cs="Tahoma"/>
      <w:shd w:val="clear" w:color="auto" w:fill="000080"/>
    </w:rPr>
  </w:style>
  <w:style w:type="paragraph" w:styleId="aff9">
    <w:name w:val="List Paragraph"/>
    <w:basedOn w:val="a3"/>
    <w:link w:val="affa"/>
    <w:uiPriority w:val="34"/>
    <w:qFormat/>
    <w:rsid w:val="000A4EA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A4EA3"/>
  </w:style>
  <w:style w:type="paragraph" w:styleId="affb">
    <w:name w:val="footnote text"/>
    <w:basedOn w:val="a3"/>
    <w:link w:val="affc"/>
    <w:uiPriority w:val="99"/>
    <w:semiHidden/>
    <w:rsid w:val="008B587D"/>
    <w:rPr>
      <w:sz w:val="20"/>
      <w:szCs w:val="20"/>
    </w:rPr>
  </w:style>
  <w:style w:type="character" w:customStyle="1" w:styleId="affc">
    <w:name w:val="Текст сноски Знак"/>
    <w:link w:val="affb"/>
    <w:uiPriority w:val="99"/>
    <w:semiHidden/>
    <w:rsid w:val="008B587D"/>
    <w:rPr>
      <w:lang w:eastAsia="en-US"/>
    </w:rPr>
  </w:style>
  <w:style w:type="character" w:styleId="affd">
    <w:name w:val="footnote reference"/>
    <w:semiHidden/>
    <w:rsid w:val="008B587D"/>
    <w:rPr>
      <w:vertAlign w:val="superscript"/>
    </w:rPr>
  </w:style>
  <w:style w:type="paragraph" w:customStyle="1" w:styleId="100">
    <w:name w:val="10 ТЕКСТ СНОСКИ"/>
    <w:basedOn w:val="affb"/>
    <w:rsid w:val="00D2265D"/>
    <w:pPr>
      <w:spacing w:after="60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character" w:customStyle="1" w:styleId="affa">
    <w:name w:val="Абзац списка Знак"/>
    <w:link w:val="aff9"/>
    <w:uiPriority w:val="34"/>
    <w:rsid w:val="00A24731"/>
    <w:rPr>
      <w:rFonts w:ascii="Times New Roman" w:eastAsia="Times New Roman" w:hAnsi="Times New Roman"/>
      <w:sz w:val="24"/>
      <w:szCs w:val="24"/>
    </w:rPr>
  </w:style>
  <w:style w:type="character" w:customStyle="1" w:styleId="SUBST">
    <w:name w:val="__SUBST"/>
    <w:uiPriority w:val="99"/>
    <w:rsid w:val="00DA60A3"/>
    <w:rPr>
      <w:b/>
      <w:i/>
      <w:sz w:val="22"/>
    </w:rPr>
  </w:style>
  <w:style w:type="table" w:customStyle="1" w:styleId="24">
    <w:name w:val="Сетка таблицы2"/>
    <w:basedOn w:val="a5"/>
    <w:next w:val="ab"/>
    <w:uiPriority w:val="59"/>
    <w:rsid w:val="00DA60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11 № ТАБЛИЦы"/>
    <w:rsid w:val="00DA60A3"/>
    <w:pPr>
      <w:jc w:val="right"/>
    </w:pPr>
    <w:rPr>
      <w:rFonts w:ascii="Arial" w:hAnsi="Arial" w:cs="Arial"/>
      <w:i/>
      <w:szCs w:val="22"/>
    </w:rPr>
  </w:style>
  <w:style w:type="table" w:customStyle="1" w:styleId="32">
    <w:name w:val="Сетка таблицы3"/>
    <w:basedOn w:val="a5"/>
    <w:next w:val="ab"/>
    <w:uiPriority w:val="59"/>
    <w:rsid w:val="00DA60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Revision"/>
    <w:hidden/>
    <w:uiPriority w:val="99"/>
    <w:semiHidden/>
    <w:rsid w:val="009D3FCA"/>
    <w:rPr>
      <w:sz w:val="22"/>
      <w:szCs w:val="22"/>
      <w:lang w:eastAsia="en-US"/>
    </w:rPr>
  </w:style>
  <w:style w:type="character" w:customStyle="1" w:styleId="itemtext1">
    <w:name w:val="itemtext1"/>
    <w:basedOn w:val="a4"/>
    <w:rsid w:val="00F97465"/>
    <w:rPr>
      <w:rFonts w:ascii="Segoe UI" w:hAnsi="Segoe UI" w:cs="Segoe UI" w:hint="default"/>
      <w:color w:val="000000"/>
      <w:sz w:val="20"/>
      <w:szCs w:val="20"/>
    </w:rPr>
  </w:style>
  <w:style w:type="character" w:customStyle="1" w:styleId="w">
    <w:name w:val="w"/>
    <w:basedOn w:val="a4"/>
    <w:rsid w:val="00AE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hyperlink" Target="http://www.nkcbank.ru/viewCatalog.do?menuKey=131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hyperlink" Target="http://moex.com/s1295" TargetMode="External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36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image" Target="media/image9.wmf"/><Relationship Id="rId30" Type="http://schemas.openxmlformats.org/officeDocument/2006/relationships/oleObject" Target="embeddings/oleObject8.bin"/><Relationship Id="rId35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E5E1CF-3217-4FB4-8C82-87B07EB2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5752</Words>
  <Characters>32789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Дубикова Анна Александровна</cp:lastModifiedBy>
  <cp:revision>3</cp:revision>
  <cp:lastPrinted>2015-06-30T12:37:00Z</cp:lastPrinted>
  <dcterms:created xsi:type="dcterms:W3CDTF">2015-07-01T11:05:00Z</dcterms:created>
  <dcterms:modified xsi:type="dcterms:W3CDTF">2015-07-01T11:06:00Z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722718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</Properties>
</file>