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6C" w:rsidRDefault="00D93A6C" w:rsidP="00D93A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93A6C" w:rsidRDefault="00D93A6C" w:rsidP="00D93A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директоров ОАО «Алмаз» 28.02.2018г.</w:t>
      </w:r>
    </w:p>
    <w:p w:rsidR="00D93A6C" w:rsidRDefault="00D93A6C" w:rsidP="00D93A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(протокол от 01.03.2018г. №1) </w:t>
      </w:r>
    </w:p>
    <w:p w:rsidR="00D93A6C" w:rsidRDefault="00D93A6C" w:rsidP="00D93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A6C" w:rsidRDefault="00D93A6C" w:rsidP="00D93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Измененная (скорректированная) информация</w:t>
      </w:r>
    </w:p>
    <w:p w:rsidR="00D93A6C" w:rsidRDefault="00D93A6C" w:rsidP="00D93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</w:t>
      </w:r>
      <w:r w:rsidR="003B660A">
        <w:rPr>
          <w:rFonts w:ascii="Times New Roman" w:hAnsi="Times New Roman" w:cs="Times New Roman"/>
        </w:rPr>
        <w:t>довом отчете ОАО «Алмаз» за 2016</w:t>
      </w:r>
      <w:r>
        <w:rPr>
          <w:rFonts w:ascii="Times New Roman" w:hAnsi="Times New Roman" w:cs="Times New Roman"/>
        </w:rPr>
        <w:t>г.</w:t>
      </w:r>
    </w:p>
    <w:p w:rsidR="00D93A6C" w:rsidRDefault="00D93A6C" w:rsidP="00D93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Настоящий документ составлен и публикуется в порядке изменения (корректировки) информации, содержащейся в ранее опубликованном Го</w:t>
      </w:r>
      <w:r w:rsidR="003B660A">
        <w:rPr>
          <w:rFonts w:ascii="Times New Roman" w:hAnsi="Times New Roman" w:cs="Times New Roman"/>
        </w:rPr>
        <w:t>довом отчете ОАО «Алмаз» за 2016</w:t>
      </w:r>
      <w:r>
        <w:rPr>
          <w:rFonts w:ascii="Times New Roman" w:hAnsi="Times New Roman" w:cs="Times New Roman"/>
        </w:rPr>
        <w:t xml:space="preserve">г. </w:t>
      </w: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77C2">
        <w:rPr>
          <w:rFonts w:ascii="Times New Roman" w:hAnsi="Times New Roman" w:cs="Times New Roman"/>
        </w:rPr>
        <w:t>Годовой отчет ОАО «Алмаз» за 2016</w:t>
      </w:r>
      <w:r>
        <w:rPr>
          <w:rFonts w:ascii="Times New Roman" w:hAnsi="Times New Roman" w:cs="Times New Roman"/>
        </w:rPr>
        <w:t xml:space="preserve">г., информация в котором изменяется (корректируется), был опубликован на странице эмитента в информационно-телекоммуникационной сети «Интернет», предоставляемой информационным агентством «АК&amp;М» (далее – страница эмитента в сети «Интернет») по ссылке </w:t>
      </w:r>
      <w:hyperlink r:id="rId5" w:history="1">
        <w:r>
          <w:rPr>
            <w:rStyle w:val="a3"/>
            <w:rFonts w:ascii="Times New Roman" w:hAnsi="Times New Roman" w:cs="Times New Roman"/>
          </w:rPr>
          <w:t>http://www.disclosure.ru/issuer/3807003044/</w:t>
        </w:r>
      </w:hyperlink>
      <w:r>
        <w:rPr>
          <w:rFonts w:ascii="Times New Roman" w:hAnsi="Times New Roman" w:cs="Times New Roman"/>
        </w:rPr>
        <w:t>.</w:t>
      </w: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Настоящий документ утвержден Советом директоров ОАО «Алмаз» в качестве внутреннего документа, не регулирующего деятельность Общества. </w:t>
      </w:r>
    </w:p>
    <w:p w:rsidR="0026019B" w:rsidRDefault="0026019B" w:rsidP="00D93A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6C" w:rsidRDefault="00D93A6C" w:rsidP="00D93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внесенных изменений:</w:t>
      </w: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Внесена информация о объеме каждого из использованных акционерным обществом в отчетном году видов энергетических ресурсов, указаны краткие биографические данные членов совета директоров ОАО «Алмаз» (год рождения, сведения об образовании, сведения об основном месте работы), а также доля их участия в уставном капитале акционерного общества и доля принадлежащих им обыкновенных акций акционерного общества, сведения о доле участия в уставном капитале эмитента и доле принадлежащих обыкновенных акций акционерного общества управляющей организации </w:t>
      </w:r>
      <w:r>
        <w:rPr>
          <w:rFonts w:ascii="Times New Roman" w:hAnsi="Times New Roman" w:cs="Times New Roman"/>
          <w:noProof/>
          <w:lang w:eastAsia="ru-RU"/>
        </w:rPr>
        <w:t>-</w:t>
      </w:r>
      <w:r>
        <w:rPr>
          <w:rFonts w:ascii="Times New Roman" w:hAnsi="Times New Roman" w:cs="Times New Roman"/>
        </w:rPr>
        <w:t xml:space="preserve"> ООО «УК Алмаз», осуществляющей функции единоличного исполните</w:t>
      </w:r>
      <w:r w:rsidR="0026019B">
        <w:rPr>
          <w:rFonts w:ascii="Times New Roman" w:hAnsi="Times New Roman" w:cs="Times New Roman"/>
        </w:rPr>
        <w:t>льного органа ОАО «Алмаз» в 2016</w:t>
      </w:r>
      <w:r>
        <w:rPr>
          <w:rFonts w:ascii="Times New Roman" w:hAnsi="Times New Roman" w:cs="Times New Roman"/>
        </w:rPr>
        <w:t xml:space="preserve"> году; сведения о соблюдении ОАО «Алмаз» принципов и рекомендаций Кодекса корпоративного управления, рекомендованного к применению Банком России; сведения об утверж</w:t>
      </w:r>
      <w:r w:rsidR="0026019B">
        <w:rPr>
          <w:rFonts w:ascii="Times New Roman" w:hAnsi="Times New Roman" w:cs="Times New Roman"/>
        </w:rPr>
        <w:t>дении годового отчета за 2016</w:t>
      </w:r>
      <w:r>
        <w:rPr>
          <w:rFonts w:ascii="Times New Roman" w:hAnsi="Times New Roman" w:cs="Times New Roman"/>
        </w:rPr>
        <w:t>г. общим собранием акционеров ОАО «Алмаз».</w:t>
      </w:r>
    </w:p>
    <w:p w:rsidR="00D93A6C" w:rsidRDefault="00D93A6C" w:rsidP="00D93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текст изменений:</w:t>
      </w:r>
    </w:p>
    <w:p w:rsidR="00D93A6C" w:rsidRDefault="00D93A6C" w:rsidP="00D93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Информация о объеме каждого из использованных акционерным обществом в отчетном году видов энергетических ресурсов.</w:t>
      </w:r>
    </w:p>
    <w:p w:rsidR="00186A0A" w:rsidRDefault="00186A0A" w:rsidP="00D93A6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4D4B" w:rsidTr="00DF4F42">
        <w:trPr>
          <w:trHeight w:val="511"/>
        </w:trPr>
        <w:tc>
          <w:tcPr>
            <w:tcW w:w="3115" w:type="dxa"/>
          </w:tcPr>
          <w:p w:rsidR="00B74D4B" w:rsidRPr="005A1ECB" w:rsidRDefault="00B74D4B" w:rsidP="00DF4F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ECB">
              <w:rPr>
                <w:rFonts w:ascii="Times New Roman" w:hAnsi="Times New Roman" w:cs="Times New Roman"/>
              </w:rPr>
              <w:t>Вид энергетического ресурса</w:t>
            </w:r>
          </w:p>
        </w:tc>
        <w:tc>
          <w:tcPr>
            <w:tcW w:w="3115" w:type="dxa"/>
          </w:tcPr>
          <w:p w:rsidR="00B74D4B" w:rsidRPr="005A1ECB" w:rsidRDefault="00B74D4B" w:rsidP="00DF4F42">
            <w:pPr>
              <w:jc w:val="center"/>
              <w:rPr>
                <w:rFonts w:ascii="Times New Roman" w:hAnsi="Times New Roman" w:cs="Times New Roman"/>
              </w:rPr>
            </w:pPr>
            <w:r w:rsidRPr="005A1ECB">
              <w:rPr>
                <w:rFonts w:ascii="Times New Roman" w:hAnsi="Times New Roman" w:cs="Times New Roman"/>
              </w:rPr>
              <w:t>Объем в натуральном выражении</w:t>
            </w:r>
          </w:p>
        </w:tc>
        <w:tc>
          <w:tcPr>
            <w:tcW w:w="3115" w:type="dxa"/>
          </w:tcPr>
          <w:p w:rsidR="00B74D4B" w:rsidRPr="005A1ECB" w:rsidRDefault="00B74D4B" w:rsidP="00DF4F42">
            <w:pPr>
              <w:jc w:val="center"/>
              <w:rPr>
                <w:rFonts w:ascii="Times New Roman" w:hAnsi="Times New Roman" w:cs="Times New Roman"/>
              </w:rPr>
            </w:pPr>
            <w:r w:rsidRPr="005A1ECB">
              <w:rPr>
                <w:rFonts w:ascii="Times New Roman" w:hAnsi="Times New Roman" w:cs="Times New Roman"/>
              </w:rPr>
              <w:t>Объем в денежном выражении</w:t>
            </w:r>
          </w:p>
        </w:tc>
      </w:tr>
      <w:tr w:rsidR="00B74D4B" w:rsidTr="00DF4F42">
        <w:tc>
          <w:tcPr>
            <w:tcW w:w="3115" w:type="dxa"/>
          </w:tcPr>
          <w:p w:rsidR="00B74D4B" w:rsidRDefault="00B74D4B" w:rsidP="00DF4F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115" w:type="dxa"/>
          </w:tcPr>
          <w:p w:rsidR="00B74D4B" w:rsidRDefault="00B74D4B" w:rsidP="00B74D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492,02 Гкал</w:t>
            </w:r>
          </w:p>
        </w:tc>
        <w:tc>
          <w:tcPr>
            <w:tcW w:w="3115" w:type="dxa"/>
          </w:tcPr>
          <w:p w:rsidR="00B74D4B" w:rsidRDefault="00B74D4B" w:rsidP="00DF4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277 529,39 руб.</w:t>
            </w:r>
          </w:p>
        </w:tc>
      </w:tr>
      <w:tr w:rsidR="00B74D4B" w:rsidTr="00DF4F42">
        <w:tc>
          <w:tcPr>
            <w:tcW w:w="3115" w:type="dxa"/>
          </w:tcPr>
          <w:p w:rsidR="00B74D4B" w:rsidRDefault="00B74D4B" w:rsidP="00DF4F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115" w:type="dxa"/>
          </w:tcPr>
          <w:p w:rsidR="00B74D4B" w:rsidRDefault="00B74D4B" w:rsidP="00DF4F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248 020 квт/ч</w:t>
            </w:r>
          </w:p>
        </w:tc>
        <w:tc>
          <w:tcPr>
            <w:tcW w:w="3115" w:type="dxa"/>
          </w:tcPr>
          <w:p w:rsidR="00B74D4B" w:rsidRDefault="00B74D4B" w:rsidP="00B74D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807 973,77 руб.</w:t>
            </w:r>
          </w:p>
        </w:tc>
      </w:tr>
    </w:tbl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Иные виды энергетических ресурсов в отчетном году не потреблялись и не использовались. </w:t>
      </w: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На годовом общем со</w:t>
      </w:r>
      <w:r w:rsidR="00825E64">
        <w:rPr>
          <w:rFonts w:ascii="Times New Roman" w:hAnsi="Times New Roman" w:cs="Times New Roman"/>
        </w:rPr>
        <w:t>брании акционеров ОАО «Алмаз» 28 июня 2016</w:t>
      </w:r>
      <w:r>
        <w:rPr>
          <w:rFonts w:ascii="Times New Roman" w:hAnsi="Times New Roman" w:cs="Times New Roman"/>
        </w:rPr>
        <w:t xml:space="preserve"> года членами Совета директоров в количестве 5 (Пяти) человек были избраны:</w:t>
      </w: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Баборина Марина Владимировна, 1962 года рождения, образование высшее, председатель совета директоров ООО «УК «Алмаз», доля участия в уставном капитале ОАО «Алмаз» - 70,04%;</w:t>
      </w: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Воробьева Наталья Валерьевна, 1967 года рождения, образование среднетехническое, генеральный директор ООО «УК «Алмаз», доля участия в уставном капитале ОАО «Алмаз» - 10,45%;</w:t>
      </w: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Бурдастова Елена Леонидовна, 1967 года рождения, образование высшее, главный бухгалтер ООО «УК «Алмаз», доля участия в уставном капитале ОАО «Алмаз» - отсутствует;</w:t>
      </w:r>
    </w:p>
    <w:p w:rsidR="00511D7D" w:rsidRDefault="00511D7D" w:rsidP="00511D7D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Батурина Юлия Иннокентьевна, 1976 года рождения, образование высшее, директор департамента продаж ООО «УК «Алмаз», доля участия в уставном капитале ОАО «Алмаз» - отсутствует;</w:t>
      </w: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Баборин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Максим Александрович, 1985 года рождения, образование высшее, менеджер отдела развития, доля участия в уставном капитале ОАО «Алмаз» - 0,24%.</w:t>
      </w: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3. 26.06.2013г. на годовом общем собрании акционеров ОАО «Алмаз» было принято решение о досрочном прекращении полномочий единоличного исполнительного органа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(генерального директора) Общества и передаче полномочий единоличного исполнительного органа Общества управляющей организации с 01 июля 2013 года – Обществу с ограниченной ответственностью «Управляющая компания «Алмаз» ОГРН 1133850005530,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г.Иркутск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ул.Сухэ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-Батора, 17. Данная организация доли в уставном капитале ОАО «Алмаз» не имеет. Владельцем акций не является. </w:t>
      </w: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93A6C" w:rsidRDefault="00D93A6C" w:rsidP="00D93A6C">
      <w:pPr>
        <w:spacing w:after="0"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 В целях защиты интересов всех акционеров ОАО «Алмаз» в своей работе следует рекомендациям Кодекса корпоративного поведения, рекомендованного к применению Банком России, а именно:</w:t>
      </w:r>
    </w:p>
    <w:p w:rsidR="00D93A6C" w:rsidRDefault="00D93A6C" w:rsidP="00D93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Акционерам предоставлено право на регулярное и своевременное получение полной и достоверной информации об Обществе;</w:t>
      </w:r>
    </w:p>
    <w:p w:rsidR="00D93A6C" w:rsidRDefault="00D93A6C" w:rsidP="00D93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Совета директоров избираются кумулятивным голосованием в соответствии с прозрачной процедурой, предусматривающей предоставление акционерам полной информации об этих лицах;</w:t>
      </w:r>
    </w:p>
    <w:p w:rsidR="00D93A6C" w:rsidRDefault="00D93A6C" w:rsidP="00D93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Повестка общих собраний акционеров определяется в соответствии с требованиями действующего законодательства, акционерам предоставляется право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знакомиться  со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всеми материалами, выносимыми на обсуждение общего собрания акционеров;</w:t>
      </w:r>
    </w:p>
    <w:p w:rsidR="00D93A6C" w:rsidRDefault="00D93A6C" w:rsidP="00D93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Органы управления Общества осуществляют свою деятельность в соответствии с действующим законодательством и Уставом ОАО «Алмаз»;</w:t>
      </w:r>
    </w:p>
    <w:p w:rsidR="00D93A6C" w:rsidRDefault="00D93A6C" w:rsidP="00D93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Общество раскрывает информацию о своей деятельности в соответствии с законодательством РФ;</w:t>
      </w:r>
    </w:p>
    <w:p w:rsidR="00D93A6C" w:rsidRDefault="00D93A6C" w:rsidP="00D93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Контроль за хозяйственно-финансовой деятельностью в обществе осуществляет избираемая ревизионная комиссия и независимая аудиторская организация.</w:t>
      </w:r>
    </w:p>
    <w:p w:rsidR="00D93A6C" w:rsidRDefault="00D93A6C" w:rsidP="00D93A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A6C" w:rsidRDefault="00D93A6C" w:rsidP="00D93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</w:rPr>
        <w:t xml:space="preserve">5. В соответствии с Уставом ОАО «Алмаз» Годовой отчет о </w:t>
      </w:r>
      <w:r w:rsidR="002B3804">
        <w:rPr>
          <w:rFonts w:ascii="Times New Roman" w:hAnsi="Times New Roman" w:cs="Times New Roman"/>
        </w:rPr>
        <w:t>деятельности ОАО «Алмаз» за 2016</w:t>
      </w:r>
      <w:r>
        <w:rPr>
          <w:rFonts w:ascii="Times New Roman" w:hAnsi="Times New Roman" w:cs="Times New Roman"/>
        </w:rPr>
        <w:t>г. предварительно был утвержден Советом дире</w:t>
      </w:r>
      <w:r w:rsidR="00271A9B">
        <w:rPr>
          <w:rFonts w:ascii="Times New Roman" w:hAnsi="Times New Roman" w:cs="Times New Roman"/>
        </w:rPr>
        <w:t>кторов (протокол заседания от 28</w:t>
      </w:r>
      <w:r>
        <w:rPr>
          <w:rFonts w:ascii="Times New Roman" w:hAnsi="Times New Roman" w:cs="Times New Roman"/>
        </w:rPr>
        <w:t xml:space="preserve"> апреля 201</w:t>
      </w:r>
      <w:r w:rsidR="00271A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года). Окончательное утверждение Год</w:t>
      </w:r>
      <w:r w:rsidR="00FB30DC">
        <w:rPr>
          <w:rFonts w:ascii="Times New Roman" w:hAnsi="Times New Roman" w:cs="Times New Roman"/>
        </w:rPr>
        <w:t>ового отчета ОАО «Алмаз» за 2016</w:t>
      </w:r>
      <w:r>
        <w:rPr>
          <w:rFonts w:ascii="Times New Roman" w:hAnsi="Times New Roman" w:cs="Times New Roman"/>
        </w:rPr>
        <w:t xml:space="preserve">г. состоялось по решению общего годового </w:t>
      </w:r>
      <w:r w:rsidR="00E12E56">
        <w:rPr>
          <w:rFonts w:ascii="Times New Roman" w:hAnsi="Times New Roman" w:cs="Times New Roman"/>
        </w:rPr>
        <w:t>собрания акционеров 09.06.2017г.</w:t>
      </w:r>
      <w:r>
        <w:rPr>
          <w:rFonts w:ascii="Times New Roman" w:hAnsi="Times New Roman" w:cs="Times New Roman"/>
        </w:rPr>
        <w:t xml:space="preserve"> (протокол общего годового собрания акционер</w:t>
      </w:r>
      <w:r w:rsidR="002B3804">
        <w:rPr>
          <w:rFonts w:ascii="Times New Roman" w:hAnsi="Times New Roman" w:cs="Times New Roman"/>
        </w:rPr>
        <w:t>ов ОАО «Алмаз» от 09.06.2017</w:t>
      </w:r>
      <w:bookmarkStart w:id="0" w:name="_GoBack"/>
      <w:bookmarkEnd w:id="0"/>
      <w:r w:rsidR="002074E5">
        <w:rPr>
          <w:rFonts w:ascii="Times New Roman" w:hAnsi="Times New Roman" w:cs="Times New Roman"/>
        </w:rPr>
        <w:t xml:space="preserve">г.). </w:t>
      </w:r>
    </w:p>
    <w:p w:rsidR="00912FE5" w:rsidRDefault="00912FE5"/>
    <w:sectPr w:rsidR="0091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BE7"/>
    <w:multiLevelType w:val="singleLevel"/>
    <w:tmpl w:val="4DF4D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E"/>
    <w:rsid w:val="00186A0A"/>
    <w:rsid w:val="002074E5"/>
    <w:rsid w:val="00222F1D"/>
    <w:rsid w:val="0026019B"/>
    <w:rsid w:val="00271A9B"/>
    <w:rsid w:val="002B3804"/>
    <w:rsid w:val="003B660A"/>
    <w:rsid w:val="00511D7D"/>
    <w:rsid w:val="005777FE"/>
    <w:rsid w:val="006A77C2"/>
    <w:rsid w:val="00825E64"/>
    <w:rsid w:val="00912FE5"/>
    <w:rsid w:val="00B74D4B"/>
    <w:rsid w:val="00D93A6C"/>
    <w:rsid w:val="00E12E56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31C"/>
  <w15:chartTrackingRefBased/>
  <w15:docId w15:val="{5D877E22-B36E-4A57-85E2-EF82A27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A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8070030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Буянова</dc:creator>
  <cp:keywords/>
  <dc:description/>
  <cp:lastModifiedBy>Ирина Буянова</cp:lastModifiedBy>
  <cp:revision>15</cp:revision>
  <dcterms:created xsi:type="dcterms:W3CDTF">2018-03-27T07:26:00Z</dcterms:created>
  <dcterms:modified xsi:type="dcterms:W3CDTF">2018-03-28T01:09:00Z</dcterms:modified>
</cp:coreProperties>
</file>