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44" w:rsidRDefault="00B23344">
      <w:pPr>
        <w:autoSpaceDE/>
        <w:autoSpaceDN/>
        <w:ind w:firstLine="547"/>
        <w:jc w:val="center"/>
        <w:rPr>
          <w:b/>
          <w:bCs/>
          <w:sz w:val="24"/>
          <w:szCs w:val="24"/>
        </w:rPr>
      </w:pPr>
      <w:r>
        <w:rPr>
          <w:b/>
          <w:bCs/>
          <w:color w:val="000000"/>
          <w:sz w:val="24"/>
          <w:szCs w:val="24"/>
          <w:shd w:val="clear" w:color="auto" w:fill="FFFFFF"/>
        </w:rPr>
        <w:t>Сообщение о существенном факте о дате, на которую определяются лица, имеющие право на осуществление прав по эмиссионным ценным бумагам эмитента</w:t>
      </w:r>
    </w:p>
    <w:tbl>
      <w:tblPr>
        <w:tblW w:w="997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64"/>
        <w:gridCol w:w="5415"/>
      </w:tblGrid>
      <w:tr w:rsidR="00B23344">
        <w:trPr>
          <w:cantSplit/>
        </w:trPr>
        <w:tc>
          <w:tcPr>
            <w:tcW w:w="9979" w:type="dxa"/>
            <w:gridSpan w:val="2"/>
          </w:tcPr>
          <w:p w:rsidR="00B23344" w:rsidRDefault="00B23344">
            <w:pPr>
              <w:rPr>
                <w:b/>
                <w:bCs/>
                <w:sz w:val="24"/>
                <w:szCs w:val="24"/>
              </w:rPr>
            </w:pPr>
            <w:r>
              <w:rPr>
                <w:b/>
                <w:bCs/>
                <w:sz w:val="24"/>
                <w:szCs w:val="24"/>
              </w:rPr>
              <w:t>1. Общие сведения</w:t>
            </w:r>
          </w:p>
        </w:tc>
      </w:tr>
      <w:tr w:rsidR="00B23344">
        <w:tc>
          <w:tcPr>
            <w:tcW w:w="4564" w:type="dxa"/>
          </w:tcPr>
          <w:p w:rsidR="00B23344" w:rsidRDefault="00B23344">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415" w:type="dxa"/>
          </w:tcPr>
          <w:p w:rsidR="00B23344" w:rsidRDefault="00B23344">
            <w:pPr>
              <w:ind w:left="57" w:right="57"/>
              <w:jc w:val="both"/>
              <w:rPr>
                <w:sz w:val="24"/>
                <w:szCs w:val="24"/>
              </w:rPr>
            </w:pPr>
            <w:r>
              <w:rPr>
                <w:sz w:val="24"/>
                <w:szCs w:val="24"/>
              </w:rPr>
              <w:t>Акционерное общество «Самарский речной порт»</w:t>
            </w:r>
          </w:p>
        </w:tc>
      </w:tr>
      <w:tr w:rsidR="00B23344">
        <w:tc>
          <w:tcPr>
            <w:tcW w:w="4564" w:type="dxa"/>
          </w:tcPr>
          <w:p w:rsidR="00B23344" w:rsidRDefault="00B23344">
            <w:pPr>
              <w:ind w:left="57" w:right="57"/>
              <w:jc w:val="both"/>
              <w:rPr>
                <w:sz w:val="24"/>
                <w:szCs w:val="24"/>
              </w:rPr>
            </w:pPr>
            <w:r>
              <w:rPr>
                <w:sz w:val="24"/>
                <w:szCs w:val="24"/>
              </w:rPr>
              <w:t>1.2. Сокращенное фирменное наименование эмитента</w:t>
            </w:r>
          </w:p>
        </w:tc>
        <w:tc>
          <w:tcPr>
            <w:tcW w:w="5415" w:type="dxa"/>
          </w:tcPr>
          <w:p w:rsidR="00B23344" w:rsidRDefault="00B23344">
            <w:pPr>
              <w:ind w:left="57" w:right="57"/>
              <w:jc w:val="both"/>
              <w:rPr>
                <w:sz w:val="24"/>
                <w:szCs w:val="24"/>
              </w:rPr>
            </w:pPr>
            <w:r>
              <w:rPr>
                <w:sz w:val="24"/>
                <w:szCs w:val="24"/>
              </w:rPr>
              <w:t>АО «Порт Самара»</w:t>
            </w:r>
          </w:p>
        </w:tc>
      </w:tr>
      <w:tr w:rsidR="00B23344">
        <w:tc>
          <w:tcPr>
            <w:tcW w:w="4564" w:type="dxa"/>
          </w:tcPr>
          <w:p w:rsidR="00B23344" w:rsidRDefault="00B23344">
            <w:pPr>
              <w:ind w:left="57" w:right="57"/>
              <w:jc w:val="both"/>
              <w:rPr>
                <w:sz w:val="24"/>
                <w:szCs w:val="24"/>
              </w:rPr>
            </w:pPr>
            <w:r>
              <w:rPr>
                <w:sz w:val="24"/>
                <w:szCs w:val="24"/>
              </w:rPr>
              <w:t>1.3. Место нахождения эмитента</w:t>
            </w:r>
          </w:p>
        </w:tc>
        <w:tc>
          <w:tcPr>
            <w:tcW w:w="5415" w:type="dxa"/>
          </w:tcPr>
          <w:p w:rsidR="00B23344" w:rsidRDefault="00B23344">
            <w:pPr>
              <w:ind w:left="57" w:right="57"/>
              <w:jc w:val="both"/>
              <w:rPr>
                <w:sz w:val="24"/>
                <w:szCs w:val="24"/>
              </w:rPr>
            </w:pPr>
            <w:r>
              <w:rPr>
                <w:sz w:val="24"/>
                <w:szCs w:val="24"/>
              </w:rPr>
              <w:t>Российская Федерация, 443099, Самарская область, г. Самара, Стрелка рек Волги и Самары</w:t>
            </w:r>
          </w:p>
        </w:tc>
      </w:tr>
      <w:tr w:rsidR="00B23344">
        <w:tc>
          <w:tcPr>
            <w:tcW w:w="4564" w:type="dxa"/>
          </w:tcPr>
          <w:p w:rsidR="00B23344" w:rsidRDefault="00B23344">
            <w:pPr>
              <w:ind w:left="57" w:right="57"/>
              <w:jc w:val="both"/>
              <w:rPr>
                <w:sz w:val="24"/>
                <w:szCs w:val="24"/>
              </w:rPr>
            </w:pPr>
            <w:r>
              <w:rPr>
                <w:sz w:val="24"/>
                <w:szCs w:val="24"/>
              </w:rPr>
              <w:t>1.4. ОГРН эмитента</w:t>
            </w:r>
          </w:p>
        </w:tc>
        <w:tc>
          <w:tcPr>
            <w:tcW w:w="5415" w:type="dxa"/>
          </w:tcPr>
          <w:p w:rsidR="00B23344" w:rsidRDefault="00B23344">
            <w:pPr>
              <w:ind w:left="57" w:right="57"/>
              <w:rPr>
                <w:sz w:val="24"/>
                <w:szCs w:val="24"/>
              </w:rPr>
            </w:pPr>
            <w:r>
              <w:rPr>
                <w:sz w:val="24"/>
                <w:szCs w:val="24"/>
              </w:rPr>
              <w:t>1026301421134</w:t>
            </w:r>
          </w:p>
        </w:tc>
      </w:tr>
      <w:tr w:rsidR="00B23344">
        <w:tc>
          <w:tcPr>
            <w:tcW w:w="4564" w:type="dxa"/>
          </w:tcPr>
          <w:p w:rsidR="00B23344" w:rsidRDefault="00B23344">
            <w:pPr>
              <w:ind w:left="57" w:right="57"/>
              <w:jc w:val="both"/>
              <w:rPr>
                <w:sz w:val="24"/>
                <w:szCs w:val="24"/>
              </w:rPr>
            </w:pPr>
            <w:r>
              <w:rPr>
                <w:sz w:val="24"/>
                <w:szCs w:val="24"/>
              </w:rPr>
              <w:t>1.5. ИНН эмитента</w:t>
            </w:r>
          </w:p>
        </w:tc>
        <w:tc>
          <w:tcPr>
            <w:tcW w:w="5415" w:type="dxa"/>
          </w:tcPr>
          <w:p w:rsidR="00B23344" w:rsidRDefault="00B23344">
            <w:pPr>
              <w:ind w:left="57" w:right="57"/>
              <w:rPr>
                <w:sz w:val="24"/>
                <w:szCs w:val="24"/>
              </w:rPr>
            </w:pPr>
            <w:r>
              <w:rPr>
                <w:sz w:val="24"/>
                <w:szCs w:val="24"/>
              </w:rPr>
              <w:t>6317023569</w:t>
            </w:r>
          </w:p>
        </w:tc>
      </w:tr>
      <w:tr w:rsidR="00B23344">
        <w:tc>
          <w:tcPr>
            <w:tcW w:w="4564" w:type="dxa"/>
          </w:tcPr>
          <w:p w:rsidR="00B23344" w:rsidRDefault="00B23344">
            <w:pPr>
              <w:ind w:left="57" w:right="57"/>
              <w:jc w:val="both"/>
              <w:rPr>
                <w:sz w:val="24"/>
                <w:szCs w:val="24"/>
              </w:rPr>
            </w:pPr>
            <w:r>
              <w:rPr>
                <w:sz w:val="24"/>
                <w:szCs w:val="24"/>
              </w:rPr>
              <w:t>1.6. Уникальный код эмитента, присвоенный регистрирующим органом</w:t>
            </w:r>
          </w:p>
        </w:tc>
        <w:tc>
          <w:tcPr>
            <w:tcW w:w="5415" w:type="dxa"/>
          </w:tcPr>
          <w:p w:rsidR="00B23344" w:rsidRDefault="00B23344">
            <w:pPr>
              <w:ind w:left="57" w:right="57"/>
              <w:rPr>
                <w:sz w:val="24"/>
                <w:szCs w:val="24"/>
              </w:rPr>
            </w:pPr>
            <w:r>
              <w:rPr>
                <w:sz w:val="24"/>
                <w:szCs w:val="24"/>
              </w:rPr>
              <w:t>00417-Е</w:t>
            </w:r>
          </w:p>
        </w:tc>
      </w:tr>
      <w:tr w:rsidR="00B23344">
        <w:tc>
          <w:tcPr>
            <w:tcW w:w="4564" w:type="dxa"/>
          </w:tcPr>
          <w:p w:rsidR="00B23344" w:rsidRDefault="00B23344">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415" w:type="dxa"/>
          </w:tcPr>
          <w:p w:rsidR="00B23344" w:rsidRDefault="00B23344">
            <w:pPr>
              <w:ind w:left="57" w:right="57"/>
              <w:rPr>
                <w:sz w:val="24"/>
                <w:szCs w:val="24"/>
              </w:rPr>
            </w:pPr>
            <w:r>
              <w:rPr>
                <w:sz w:val="24"/>
                <w:szCs w:val="24"/>
                <w:lang w:val="en-US"/>
              </w:rPr>
              <w:t>http</w:t>
            </w:r>
            <w:r>
              <w:rPr>
                <w:sz w:val="24"/>
                <w:szCs w:val="24"/>
              </w:rPr>
              <w:t>://</w:t>
            </w:r>
            <w:r>
              <w:rPr>
                <w:sz w:val="24"/>
                <w:szCs w:val="24"/>
                <w:lang w:val="en-US"/>
              </w:rPr>
              <w:t>www</w:t>
            </w:r>
            <w:r>
              <w:rPr>
                <w:sz w:val="24"/>
                <w:szCs w:val="24"/>
              </w:rPr>
              <w:t>.</w:t>
            </w:r>
            <w:r>
              <w:rPr>
                <w:sz w:val="24"/>
                <w:szCs w:val="24"/>
                <w:lang w:val="en-US"/>
              </w:rPr>
              <w:t>disclosure</w:t>
            </w:r>
            <w:r>
              <w:rPr>
                <w:sz w:val="24"/>
                <w:szCs w:val="24"/>
              </w:rPr>
              <w:t>.</w:t>
            </w:r>
            <w:r>
              <w:rPr>
                <w:sz w:val="24"/>
                <w:szCs w:val="24"/>
                <w:lang w:val="en-US"/>
              </w:rPr>
              <w:t>ru</w:t>
            </w:r>
            <w:r>
              <w:rPr>
                <w:sz w:val="24"/>
                <w:szCs w:val="24"/>
              </w:rPr>
              <w:t>/</w:t>
            </w:r>
            <w:r>
              <w:rPr>
                <w:sz w:val="24"/>
                <w:szCs w:val="24"/>
                <w:lang w:val="en-US"/>
              </w:rPr>
              <w:t>issuer</w:t>
            </w:r>
            <w:r>
              <w:rPr>
                <w:sz w:val="24"/>
                <w:szCs w:val="24"/>
              </w:rPr>
              <w:t>/6317023569</w:t>
            </w:r>
          </w:p>
        </w:tc>
      </w:tr>
    </w:tbl>
    <w:p w:rsidR="00B23344" w:rsidRDefault="00B23344"/>
    <w:tbl>
      <w:tblPr>
        <w:tblW w:w="995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51"/>
      </w:tblGrid>
      <w:tr w:rsidR="00B23344">
        <w:tc>
          <w:tcPr>
            <w:tcW w:w="9951" w:type="dxa"/>
          </w:tcPr>
          <w:p w:rsidR="00B23344" w:rsidRDefault="00B23344">
            <w:pPr>
              <w:rPr>
                <w:b/>
                <w:bCs/>
                <w:sz w:val="24"/>
                <w:szCs w:val="24"/>
              </w:rPr>
            </w:pPr>
            <w:r>
              <w:rPr>
                <w:b/>
                <w:bCs/>
                <w:sz w:val="24"/>
                <w:szCs w:val="24"/>
              </w:rPr>
              <w:t>2. Содержание сообщения</w:t>
            </w:r>
          </w:p>
        </w:tc>
      </w:tr>
      <w:tr w:rsidR="00B23344">
        <w:trPr>
          <w:trHeight w:val="1971"/>
        </w:trPr>
        <w:tc>
          <w:tcPr>
            <w:tcW w:w="9951" w:type="dxa"/>
          </w:tcPr>
          <w:p w:rsidR="00B23344" w:rsidRDefault="00B23344">
            <w:pPr>
              <w:shd w:val="clear" w:color="auto" w:fill="FFFFFF"/>
              <w:spacing w:line="290" w:lineRule="atLeast"/>
              <w:jc w:val="both"/>
              <w:rPr>
                <w:b/>
                <w:bCs/>
                <w:color w:val="000000"/>
                <w:sz w:val="24"/>
                <w:szCs w:val="24"/>
              </w:rPr>
            </w:pPr>
            <w:bookmarkStart w:id="0" w:name="dst70"/>
            <w:bookmarkEnd w:id="0"/>
            <w:r>
              <w:rPr>
                <w:b/>
                <w:bCs/>
                <w:color w:val="000000"/>
                <w:sz w:val="24"/>
                <w:szCs w:val="24"/>
              </w:rPr>
              <w:t>2.1.Вид,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p>
          <w:p w:rsidR="00B23344" w:rsidRDefault="00B23344">
            <w:pPr>
              <w:jc w:val="both"/>
              <w:rPr>
                <w:color w:val="000000"/>
                <w:sz w:val="24"/>
                <w:szCs w:val="24"/>
              </w:rPr>
            </w:pPr>
            <w:bookmarkStart w:id="1" w:name="dst100644"/>
            <w:bookmarkEnd w:id="1"/>
            <w:r>
              <w:rPr>
                <w:color w:val="000000"/>
                <w:sz w:val="24"/>
                <w:szCs w:val="24"/>
              </w:rPr>
              <w:t>Акции обыкновенные именные бездокументарные</w:t>
            </w:r>
          </w:p>
          <w:p w:rsidR="00B23344" w:rsidRDefault="00B23344">
            <w:pPr>
              <w:jc w:val="both"/>
              <w:rPr>
                <w:color w:val="000000"/>
                <w:sz w:val="24"/>
                <w:szCs w:val="24"/>
              </w:rPr>
            </w:pPr>
            <w:r>
              <w:rPr>
                <w:color w:val="000000"/>
                <w:sz w:val="24"/>
                <w:szCs w:val="24"/>
              </w:rPr>
              <w:t>Дата государственной регистрации: 01.03.2001</w:t>
            </w:r>
          </w:p>
          <w:p w:rsidR="00B23344" w:rsidRDefault="00B23344">
            <w:pPr>
              <w:shd w:val="clear" w:color="auto" w:fill="FFFFFF"/>
              <w:autoSpaceDE/>
              <w:autoSpaceDN/>
              <w:spacing w:line="290" w:lineRule="atLeast"/>
              <w:jc w:val="both"/>
              <w:rPr>
                <w:color w:val="000000"/>
                <w:sz w:val="24"/>
                <w:szCs w:val="24"/>
              </w:rPr>
            </w:pPr>
            <w:r>
              <w:rPr>
                <w:color w:val="000000"/>
                <w:sz w:val="24"/>
                <w:szCs w:val="24"/>
              </w:rPr>
              <w:t>Государственный регистрационный номер выпуска: 1-02-00417-</w:t>
            </w:r>
            <w:r>
              <w:rPr>
                <w:color w:val="000000"/>
                <w:sz w:val="24"/>
                <w:szCs w:val="24"/>
                <w:lang w:val="en-US"/>
              </w:rPr>
              <w:t>E</w:t>
            </w:r>
          </w:p>
          <w:p w:rsidR="00B23344" w:rsidRDefault="00B23344">
            <w:pPr>
              <w:jc w:val="both"/>
              <w:rPr>
                <w:color w:val="000000"/>
                <w:sz w:val="24"/>
                <w:szCs w:val="24"/>
              </w:rPr>
            </w:pPr>
            <w:r>
              <w:rPr>
                <w:color w:val="000000"/>
                <w:sz w:val="24"/>
                <w:szCs w:val="24"/>
              </w:rPr>
              <w:t>Акции обыкновенные именные бездокументарные</w:t>
            </w:r>
          </w:p>
          <w:p w:rsidR="00B23344" w:rsidRDefault="00B23344">
            <w:pPr>
              <w:jc w:val="both"/>
              <w:rPr>
                <w:color w:val="000000"/>
                <w:sz w:val="24"/>
                <w:szCs w:val="24"/>
              </w:rPr>
            </w:pPr>
            <w:r>
              <w:rPr>
                <w:color w:val="000000"/>
                <w:sz w:val="24"/>
                <w:szCs w:val="24"/>
              </w:rPr>
              <w:t>Дата государственной регистрации: 24.04.2017</w:t>
            </w:r>
          </w:p>
          <w:p w:rsidR="00B23344" w:rsidRDefault="00B23344">
            <w:pPr>
              <w:shd w:val="clear" w:color="auto" w:fill="FFFFFF"/>
              <w:autoSpaceDE/>
              <w:autoSpaceDN/>
              <w:spacing w:line="290" w:lineRule="atLeast"/>
              <w:jc w:val="both"/>
              <w:rPr>
                <w:color w:val="000000"/>
                <w:sz w:val="24"/>
                <w:szCs w:val="24"/>
              </w:rPr>
            </w:pPr>
            <w:r>
              <w:rPr>
                <w:color w:val="000000"/>
                <w:sz w:val="24"/>
                <w:szCs w:val="24"/>
              </w:rPr>
              <w:t>Государственный регистрационный номер выпуска: 1-02-00417-</w:t>
            </w:r>
            <w:r>
              <w:rPr>
                <w:color w:val="000000"/>
                <w:sz w:val="24"/>
                <w:szCs w:val="24"/>
                <w:lang w:val="en-US"/>
              </w:rPr>
              <w:t>E</w:t>
            </w:r>
            <w:r>
              <w:rPr>
                <w:color w:val="000000"/>
                <w:sz w:val="24"/>
                <w:szCs w:val="24"/>
              </w:rPr>
              <w:t xml:space="preserve"> – 002</w:t>
            </w:r>
            <w:r>
              <w:rPr>
                <w:color w:val="000000"/>
                <w:sz w:val="24"/>
                <w:szCs w:val="24"/>
                <w:lang w:val="en-US"/>
              </w:rPr>
              <w:t>D</w:t>
            </w:r>
          </w:p>
          <w:p w:rsidR="00B23344" w:rsidRDefault="00B23344">
            <w:pPr>
              <w:shd w:val="clear" w:color="auto" w:fill="FFFFFF"/>
              <w:autoSpaceDE/>
              <w:autoSpaceDN/>
              <w:spacing w:line="290" w:lineRule="atLeast"/>
              <w:jc w:val="both"/>
              <w:rPr>
                <w:b/>
                <w:bCs/>
                <w:color w:val="000000"/>
                <w:sz w:val="24"/>
                <w:szCs w:val="24"/>
              </w:rPr>
            </w:pPr>
            <w:r>
              <w:rPr>
                <w:b/>
                <w:bCs/>
                <w:color w:val="000000"/>
                <w:sz w:val="24"/>
                <w:szCs w:val="24"/>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B23344" w:rsidRDefault="00B23344">
            <w:pPr>
              <w:autoSpaceDE/>
              <w:autoSpaceDN/>
              <w:textAlignment w:val="baseline"/>
              <w:rPr>
                <w:color w:val="000000"/>
                <w:sz w:val="24"/>
                <w:szCs w:val="24"/>
              </w:rPr>
            </w:pPr>
            <w:r>
              <w:rPr>
                <w:color w:val="000000"/>
                <w:sz w:val="24"/>
                <w:szCs w:val="24"/>
              </w:rPr>
              <w:t>Права, закрепленные ценными бумагами эмитента, согласно Уставу Общества:</w:t>
            </w:r>
            <w:r>
              <w:rPr>
                <w:color w:val="000000"/>
                <w:sz w:val="24"/>
                <w:szCs w:val="24"/>
              </w:rPr>
              <w:br/>
              <w:t>"Акционеры – владельцы обыкновенных акций имеют право:</w:t>
            </w:r>
            <w:r>
              <w:rPr>
                <w:color w:val="000000"/>
                <w:sz w:val="24"/>
                <w:szCs w:val="24"/>
              </w:rPr>
              <w:br/>
              <w:t>- участвовать  (лично или через представителя) в общем собрании акционеров Общества  с правом голоса по всем вопросам его компетенции</w:t>
            </w:r>
            <w:r>
              <w:rPr>
                <w:b/>
                <w:bCs/>
                <w:color w:val="000000"/>
                <w:sz w:val="24"/>
                <w:szCs w:val="24"/>
              </w:rPr>
              <w:br/>
            </w:r>
            <w:r>
              <w:rPr>
                <w:color w:val="000000"/>
                <w:sz w:val="24"/>
                <w:szCs w:val="24"/>
              </w:rPr>
              <w:t xml:space="preserve">Составляется список лиц, имеющих право на участие во внеочередном общем собрании акционеров эмитента, проводимом  26 июня 2017 года </w:t>
            </w:r>
          </w:p>
          <w:p w:rsidR="00B23344" w:rsidRDefault="00B23344">
            <w:pPr>
              <w:shd w:val="clear" w:color="auto" w:fill="FFFFFF"/>
              <w:autoSpaceDE/>
              <w:autoSpaceDN/>
              <w:spacing w:line="290" w:lineRule="atLeast"/>
              <w:jc w:val="both"/>
              <w:rPr>
                <w:color w:val="000000"/>
                <w:sz w:val="24"/>
                <w:szCs w:val="24"/>
              </w:rPr>
            </w:pPr>
          </w:p>
          <w:p w:rsidR="00B23344" w:rsidRDefault="00B23344">
            <w:pPr>
              <w:shd w:val="clear" w:color="auto" w:fill="FFFFFF"/>
              <w:autoSpaceDE/>
              <w:autoSpaceDN/>
              <w:spacing w:line="290" w:lineRule="atLeast"/>
              <w:jc w:val="both"/>
              <w:rPr>
                <w:color w:val="000000"/>
                <w:sz w:val="24"/>
                <w:szCs w:val="24"/>
              </w:rPr>
            </w:pPr>
            <w:bookmarkStart w:id="2" w:name="dst100645"/>
            <w:bookmarkEnd w:id="2"/>
            <w:r>
              <w:rPr>
                <w:b/>
                <w:bCs/>
                <w:color w:val="000000"/>
                <w:sz w:val="24"/>
                <w:szCs w:val="24"/>
              </w:rPr>
              <w:t>2.3.Дата, на которую определяются лица, имеющие право на осуществление прав по ценным бумагам эмитента:</w:t>
            </w:r>
            <w:r>
              <w:rPr>
                <w:color w:val="000000"/>
                <w:sz w:val="24"/>
                <w:szCs w:val="24"/>
              </w:rPr>
              <w:t xml:space="preserve"> 30 мая 2017 года</w:t>
            </w:r>
          </w:p>
          <w:p w:rsidR="00B23344" w:rsidRDefault="00B23344">
            <w:pPr>
              <w:shd w:val="clear" w:color="auto" w:fill="FFFFFF"/>
              <w:autoSpaceDE/>
              <w:autoSpaceDN/>
              <w:spacing w:line="290" w:lineRule="atLeast"/>
              <w:jc w:val="both"/>
              <w:rPr>
                <w:color w:val="000000"/>
                <w:sz w:val="24"/>
                <w:szCs w:val="24"/>
              </w:rPr>
            </w:pPr>
            <w:bookmarkStart w:id="3" w:name="dst100646"/>
            <w:bookmarkEnd w:id="3"/>
          </w:p>
          <w:p w:rsidR="00B23344" w:rsidRDefault="00B23344">
            <w:pPr>
              <w:shd w:val="clear" w:color="auto" w:fill="FFFFFF"/>
              <w:autoSpaceDE/>
              <w:autoSpaceDN/>
              <w:spacing w:line="290" w:lineRule="atLeast"/>
              <w:jc w:val="both"/>
              <w:rPr>
                <w:color w:val="000000"/>
                <w:sz w:val="24"/>
                <w:szCs w:val="24"/>
              </w:rPr>
            </w:pPr>
            <w:r>
              <w:rPr>
                <w:b/>
                <w:bCs/>
                <w:color w:val="000000"/>
                <w:sz w:val="24"/>
                <w:szCs w:val="24"/>
              </w:rPr>
              <w:t>2.4.Дата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Pr>
                <w:color w:val="000000"/>
                <w:sz w:val="24"/>
                <w:szCs w:val="24"/>
              </w:rPr>
              <w:t xml:space="preserve"> 19 мая, Протокол № 51 заседания Совета директоров </w:t>
            </w:r>
            <w:r>
              <w:rPr>
                <w:sz w:val="24"/>
                <w:szCs w:val="24"/>
              </w:rPr>
              <w:t>акционерного общества  «Самарский речной порт»</w:t>
            </w:r>
          </w:p>
        </w:tc>
      </w:tr>
    </w:tbl>
    <w:p w:rsidR="00B23344" w:rsidRDefault="00B23344"/>
    <w:tbl>
      <w:tblPr>
        <w:tblW w:w="0" w:type="auto"/>
        <w:tblInd w:w="-26" w:type="dxa"/>
        <w:tblLayout w:type="fixed"/>
        <w:tblCellMar>
          <w:left w:w="28" w:type="dxa"/>
          <w:right w:w="28" w:type="dxa"/>
        </w:tblCellMar>
        <w:tblLook w:val="0000"/>
      </w:tblPr>
      <w:tblGrid>
        <w:gridCol w:w="1077"/>
        <w:gridCol w:w="198"/>
        <w:gridCol w:w="397"/>
        <w:gridCol w:w="255"/>
        <w:gridCol w:w="1474"/>
        <w:gridCol w:w="397"/>
        <w:gridCol w:w="369"/>
        <w:gridCol w:w="539"/>
        <w:gridCol w:w="1701"/>
        <w:gridCol w:w="907"/>
        <w:gridCol w:w="2552"/>
        <w:gridCol w:w="113"/>
      </w:tblGrid>
      <w:tr w:rsidR="00B23344">
        <w:tc>
          <w:tcPr>
            <w:tcW w:w="9979" w:type="dxa"/>
            <w:gridSpan w:val="12"/>
            <w:tcBorders>
              <w:top w:val="single" w:sz="4" w:space="0" w:color="auto"/>
              <w:left w:val="single" w:sz="4" w:space="0" w:color="auto"/>
              <w:bottom w:val="single" w:sz="4" w:space="0" w:color="auto"/>
              <w:right w:val="single" w:sz="4" w:space="0" w:color="auto"/>
            </w:tcBorders>
          </w:tcPr>
          <w:p w:rsidR="00B23344" w:rsidRDefault="00B23344">
            <w:pPr>
              <w:rPr>
                <w:b/>
                <w:bCs/>
                <w:sz w:val="24"/>
                <w:szCs w:val="24"/>
              </w:rPr>
            </w:pPr>
            <w:r>
              <w:rPr>
                <w:b/>
                <w:bCs/>
                <w:sz w:val="24"/>
                <w:szCs w:val="24"/>
              </w:rPr>
              <w:t>3. Подпись</w:t>
            </w:r>
          </w:p>
        </w:tc>
      </w:tr>
      <w:tr w:rsidR="00B23344">
        <w:tc>
          <w:tcPr>
            <w:tcW w:w="4706" w:type="dxa"/>
            <w:gridSpan w:val="8"/>
            <w:tcBorders>
              <w:top w:val="single" w:sz="4" w:space="0" w:color="auto"/>
              <w:left w:val="single" w:sz="4" w:space="0" w:color="auto"/>
              <w:bottom w:val="nil"/>
              <w:right w:val="nil"/>
            </w:tcBorders>
            <w:vAlign w:val="bottom"/>
          </w:tcPr>
          <w:p w:rsidR="00B23344" w:rsidRDefault="00B23344">
            <w:pPr>
              <w:ind w:left="57"/>
              <w:rPr>
                <w:sz w:val="24"/>
                <w:szCs w:val="24"/>
              </w:rPr>
            </w:pPr>
            <w:r>
              <w:rPr>
                <w:sz w:val="24"/>
                <w:szCs w:val="24"/>
              </w:rPr>
              <w:t>3.1. Генеральный директор</w:t>
            </w:r>
          </w:p>
        </w:tc>
        <w:tc>
          <w:tcPr>
            <w:tcW w:w="1701" w:type="dxa"/>
            <w:tcBorders>
              <w:top w:val="nil"/>
              <w:left w:val="nil"/>
              <w:bottom w:val="single" w:sz="4" w:space="0" w:color="auto"/>
              <w:right w:val="nil"/>
            </w:tcBorders>
            <w:vAlign w:val="bottom"/>
          </w:tcPr>
          <w:p w:rsidR="00B23344" w:rsidRDefault="00B23344">
            <w:pPr>
              <w:rPr>
                <w:sz w:val="24"/>
                <w:szCs w:val="24"/>
              </w:rPr>
            </w:pPr>
          </w:p>
        </w:tc>
        <w:tc>
          <w:tcPr>
            <w:tcW w:w="907" w:type="dxa"/>
            <w:tcBorders>
              <w:top w:val="nil"/>
              <w:left w:val="nil"/>
              <w:bottom w:val="nil"/>
              <w:right w:val="nil"/>
            </w:tcBorders>
            <w:vAlign w:val="bottom"/>
          </w:tcPr>
          <w:p w:rsidR="00B23344" w:rsidRDefault="00B23344">
            <w:pPr>
              <w:rPr>
                <w:sz w:val="24"/>
                <w:szCs w:val="24"/>
              </w:rPr>
            </w:pPr>
          </w:p>
        </w:tc>
        <w:tc>
          <w:tcPr>
            <w:tcW w:w="2552" w:type="dxa"/>
            <w:tcBorders>
              <w:top w:val="nil"/>
              <w:left w:val="nil"/>
              <w:bottom w:val="nil"/>
              <w:right w:val="nil"/>
            </w:tcBorders>
            <w:vAlign w:val="bottom"/>
          </w:tcPr>
          <w:p w:rsidR="00B23344" w:rsidRDefault="00B23344">
            <w:pPr>
              <w:rPr>
                <w:sz w:val="24"/>
                <w:szCs w:val="24"/>
              </w:rPr>
            </w:pPr>
            <w:r>
              <w:rPr>
                <w:sz w:val="24"/>
                <w:szCs w:val="24"/>
              </w:rPr>
              <w:t xml:space="preserve">                  Д.В. Клевцов</w:t>
            </w:r>
          </w:p>
        </w:tc>
        <w:tc>
          <w:tcPr>
            <w:tcW w:w="113" w:type="dxa"/>
            <w:tcBorders>
              <w:top w:val="single" w:sz="4" w:space="0" w:color="auto"/>
              <w:left w:val="nil"/>
              <w:bottom w:val="nil"/>
              <w:right w:val="single" w:sz="4" w:space="0" w:color="auto"/>
            </w:tcBorders>
            <w:vAlign w:val="bottom"/>
          </w:tcPr>
          <w:p w:rsidR="00B23344" w:rsidRDefault="00B23344">
            <w:pPr>
              <w:rPr>
                <w:sz w:val="24"/>
                <w:szCs w:val="24"/>
              </w:rPr>
            </w:pPr>
          </w:p>
        </w:tc>
      </w:tr>
      <w:tr w:rsidR="00B23344">
        <w:tc>
          <w:tcPr>
            <w:tcW w:w="4706" w:type="dxa"/>
            <w:gridSpan w:val="8"/>
            <w:tcBorders>
              <w:top w:val="nil"/>
              <w:left w:val="single" w:sz="4" w:space="0" w:color="auto"/>
              <w:bottom w:val="nil"/>
              <w:right w:val="nil"/>
            </w:tcBorders>
          </w:tcPr>
          <w:p w:rsidR="00B23344" w:rsidRDefault="00B23344">
            <w:pPr>
              <w:ind w:left="57"/>
              <w:rPr>
                <w:sz w:val="24"/>
                <w:szCs w:val="24"/>
              </w:rPr>
            </w:pPr>
          </w:p>
        </w:tc>
        <w:tc>
          <w:tcPr>
            <w:tcW w:w="1701" w:type="dxa"/>
            <w:tcBorders>
              <w:top w:val="nil"/>
              <w:left w:val="nil"/>
              <w:bottom w:val="nil"/>
              <w:right w:val="nil"/>
            </w:tcBorders>
          </w:tcPr>
          <w:p w:rsidR="00B23344" w:rsidRDefault="00B23344">
            <w:pPr>
              <w:rPr>
                <w:sz w:val="14"/>
                <w:szCs w:val="14"/>
              </w:rPr>
            </w:pPr>
            <w:r>
              <w:rPr>
                <w:sz w:val="14"/>
                <w:szCs w:val="14"/>
              </w:rPr>
              <w:t>(подпись)</w:t>
            </w:r>
          </w:p>
        </w:tc>
        <w:tc>
          <w:tcPr>
            <w:tcW w:w="907" w:type="dxa"/>
            <w:tcBorders>
              <w:top w:val="nil"/>
              <w:left w:val="nil"/>
              <w:bottom w:val="nil"/>
              <w:right w:val="nil"/>
            </w:tcBorders>
          </w:tcPr>
          <w:p w:rsidR="00B23344" w:rsidRDefault="00B23344">
            <w:pPr>
              <w:rPr>
                <w:sz w:val="24"/>
                <w:szCs w:val="24"/>
              </w:rPr>
            </w:pPr>
          </w:p>
        </w:tc>
        <w:tc>
          <w:tcPr>
            <w:tcW w:w="2552" w:type="dxa"/>
            <w:tcBorders>
              <w:top w:val="nil"/>
              <w:left w:val="nil"/>
              <w:bottom w:val="nil"/>
              <w:right w:val="nil"/>
            </w:tcBorders>
          </w:tcPr>
          <w:p w:rsidR="00B23344" w:rsidRDefault="00B23344">
            <w:pPr>
              <w:rPr>
                <w:sz w:val="24"/>
                <w:szCs w:val="24"/>
              </w:rPr>
            </w:pPr>
          </w:p>
        </w:tc>
        <w:tc>
          <w:tcPr>
            <w:tcW w:w="113" w:type="dxa"/>
            <w:tcBorders>
              <w:top w:val="nil"/>
              <w:left w:val="nil"/>
              <w:bottom w:val="nil"/>
              <w:right w:val="single" w:sz="4" w:space="0" w:color="auto"/>
            </w:tcBorders>
          </w:tcPr>
          <w:p w:rsidR="00B23344" w:rsidRDefault="00B23344">
            <w:pPr>
              <w:rPr>
                <w:sz w:val="24"/>
                <w:szCs w:val="24"/>
              </w:rPr>
            </w:pPr>
          </w:p>
        </w:tc>
      </w:tr>
      <w:tr w:rsidR="00B23344">
        <w:tc>
          <w:tcPr>
            <w:tcW w:w="1077" w:type="dxa"/>
            <w:tcBorders>
              <w:top w:val="nil"/>
              <w:left w:val="single" w:sz="4" w:space="0" w:color="auto"/>
              <w:bottom w:val="nil"/>
              <w:right w:val="nil"/>
            </w:tcBorders>
            <w:vAlign w:val="bottom"/>
          </w:tcPr>
          <w:p w:rsidR="00B23344" w:rsidRDefault="00B23344">
            <w:pPr>
              <w:spacing w:before="240"/>
              <w:ind w:left="57"/>
              <w:rPr>
                <w:sz w:val="24"/>
                <w:szCs w:val="24"/>
              </w:rPr>
            </w:pPr>
            <w:r>
              <w:rPr>
                <w:sz w:val="24"/>
                <w:szCs w:val="24"/>
              </w:rPr>
              <w:t>3.2. Дата</w:t>
            </w:r>
          </w:p>
        </w:tc>
        <w:tc>
          <w:tcPr>
            <w:tcW w:w="198" w:type="dxa"/>
            <w:tcBorders>
              <w:top w:val="nil"/>
              <w:left w:val="nil"/>
              <w:bottom w:val="nil"/>
              <w:right w:val="nil"/>
            </w:tcBorders>
            <w:vAlign w:val="bottom"/>
          </w:tcPr>
          <w:p w:rsidR="00B23344" w:rsidRDefault="00B2334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B23344" w:rsidRDefault="00B23344">
            <w:pPr>
              <w:rPr>
                <w:sz w:val="24"/>
                <w:szCs w:val="24"/>
              </w:rPr>
            </w:pPr>
            <w:r>
              <w:rPr>
                <w:sz w:val="24"/>
                <w:szCs w:val="24"/>
              </w:rPr>
              <w:t>22</w:t>
            </w:r>
          </w:p>
        </w:tc>
        <w:tc>
          <w:tcPr>
            <w:tcW w:w="255" w:type="dxa"/>
            <w:tcBorders>
              <w:top w:val="nil"/>
              <w:left w:val="nil"/>
              <w:bottom w:val="nil"/>
              <w:right w:val="nil"/>
            </w:tcBorders>
            <w:vAlign w:val="bottom"/>
          </w:tcPr>
          <w:p w:rsidR="00B23344" w:rsidRDefault="00B23344">
            <w:pPr>
              <w:rPr>
                <w:sz w:val="24"/>
                <w:szCs w:val="24"/>
              </w:rPr>
            </w:pPr>
            <w:r>
              <w:rPr>
                <w:sz w:val="24"/>
                <w:szCs w:val="24"/>
              </w:rPr>
              <w:t>”</w:t>
            </w:r>
          </w:p>
        </w:tc>
        <w:tc>
          <w:tcPr>
            <w:tcW w:w="1474" w:type="dxa"/>
            <w:tcBorders>
              <w:top w:val="nil"/>
              <w:left w:val="nil"/>
              <w:bottom w:val="single" w:sz="4" w:space="0" w:color="auto"/>
              <w:right w:val="nil"/>
            </w:tcBorders>
            <w:vAlign w:val="bottom"/>
          </w:tcPr>
          <w:p w:rsidR="00B23344" w:rsidRDefault="00B23344">
            <w:pPr>
              <w:rPr>
                <w:sz w:val="24"/>
                <w:szCs w:val="24"/>
              </w:rPr>
            </w:pPr>
            <w:r>
              <w:rPr>
                <w:sz w:val="24"/>
                <w:szCs w:val="24"/>
              </w:rPr>
              <w:t>мая</w:t>
            </w:r>
          </w:p>
        </w:tc>
        <w:tc>
          <w:tcPr>
            <w:tcW w:w="397" w:type="dxa"/>
            <w:tcBorders>
              <w:top w:val="nil"/>
              <w:left w:val="nil"/>
              <w:bottom w:val="nil"/>
              <w:right w:val="nil"/>
            </w:tcBorders>
            <w:vAlign w:val="bottom"/>
          </w:tcPr>
          <w:p w:rsidR="00B23344" w:rsidRDefault="00B23344">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23344" w:rsidRDefault="00B23344">
            <w:pPr>
              <w:rPr>
                <w:sz w:val="24"/>
                <w:szCs w:val="24"/>
              </w:rPr>
            </w:pPr>
            <w:r>
              <w:rPr>
                <w:sz w:val="24"/>
                <w:szCs w:val="24"/>
              </w:rPr>
              <w:t>17</w:t>
            </w:r>
          </w:p>
        </w:tc>
        <w:tc>
          <w:tcPr>
            <w:tcW w:w="539" w:type="dxa"/>
            <w:tcBorders>
              <w:top w:val="nil"/>
              <w:left w:val="nil"/>
              <w:bottom w:val="nil"/>
              <w:right w:val="nil"/>
            </w:tcBorders>
            <w:vAlign w:val="bottom"/>
          </w:tcPr>
          <w:p w:rsidR="00B23344" w:rsidRDefault="00B23344">
            <w:pPr>
              <w:ind w:left="57"/>
              <w:rPr>
                <w:sz w:val="24"/>
                <w:szCs w:val="24"/>
              </w:rPr>
            </w:pPr>
            <w:r>
              <w:rPr>
                <w:sz w:val="24"/>
                <w:szCs w:val="24"/>
              </w:rPr>
              <w:t>г.</w:t>
            </w:r>
          </w:p>
        </w:tc>
        <w:tc>
          <w:tcPr>
            <w:tcW w:w="1701" w:type="dxa"/>
            <w:tcBorders>
              <w:top w:val="nil"/>
              <w:left w:val="nil"/>
              <w:bottom w:val="nil"/>
              <w:right w:val="nil"/>
            </w:tcBorders>
            <w:vAlign w:val="bottom"/>
          </w:tcPr>
          <w:p w:rsidR="00B23344" w:rsidRDefault="00B23344">
            <w:pPr>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B23344" w:rsidRDefault="00B23344">
            <w:pPr>
              <w:rPr>
                <w:sz w:val="24"/>
                <w:szCs w:val="24"/>
              </w:rPr>
            </w:pPr>
          </w:p>
        </w:tc>
      </w:tr>
      <w:tr w:rsidR="00B23344">
        <w:tc>
          <w:tcPr>
            <w:tcW w:w="9979" w:type="dxa"/>
            <w:gridSpan w:val="12"/>
            <w:tcBorders>
              <w:top w:val="nil"/>
              <w:left w:val="single" w:sz="4" w:space="0" w:color="auto"/>
              <w:bottom w:val="single" w:sz="4" w:space="0" w:color="auto"/>
              <w:right w:val="single" w:sz="4" w:space="0" w:color="auto"/>
            </w:tcBorders>
          </w:tcPr>
          <w:p w:rsidR="00B23344" w:rsidRDefault="00B23344"/>
        </w:tc>
      </w:tr>
    </w:tbl>
    <w:p w:rsidR="00B23344" w:rsidRDefault="00B23344"/>
    <w:sectPr w:rsidR="00B23344" w:rsidSect="00B23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366"/>
    <w:multiLevelType w:val="hybridMultilevel"/>
    <w:tmpl w:val="0FE2B7A8"/>
    <w:lvl w:ilvl="0" w:tplc="0419000F">
      <w:start w:val="1"/>
      <w:numFmt w:val="decimal"/>
      <w:lvlText w:val="%1."/>
      <w:lvlJc w:val="left"/>
      <w:pPr>
        <w:tabs>
          <w:tab w:val="num" w:pos="1260"/>
        </w:tabs>
        <w:ind w:left="1260" w:hanging="360"/>
      </w:pPr>
      <w:rPr>
        <w:rFonts w:ascii="Times New Roman" w:hAnsi="Times New Roman"/>
      </w:rPr>
    </w:lvl>
    <w:lvl w:ilvl="1" w:tplc="04190019">
      <w:start w:val="1"/>
      <w:numFmt w:val="lowerLetter"/>
      <w:lvlText w:val="%2."/>
      <w:lvlJc w:val="left"/>
      <w:pPr>
        <w:tabs>
          <w:tab w:val="num" w:pos="1980"/>
        </w:tabs>
        <w:ind w:left="1980" w:hanging="360"/>
      </w:pPr>
      <w:rPr>
        <w:rFonts w:ascii="Times New Roman" w:hAnsi="Times New Roman"/>
      </w:rPr>
    </w:lvl>
    <w:lvl w:ilvl="2" w:tplc="0419001B">
      <w:start w:val="1"/>
      <w:numFmt w:val="lowerRoman"/>
      <w:lvlText w:val="%3."/>
      <w:lvlJc w:val="right"/>
      <w:pPr>
        <w:tabs>
          <w:tab w:val="num" w:pos="2700"/>
        </w:tabs>
        <w:ind w:left="2700" w:hanging="180"/>
      </w:pPr>
      <w:rPr>
        <w:rFonts w:ascii="Times New Roman" w:hAnsi="Times New Roman"/>
      </w:rPr>
    </w:lvl>
    <w:lvl w:ilvl="3" w:tplc="0419000F">
      <w:start w:val="1"/>
      <w:numFmt w:val="decimal"/>
      <w:lvlText w:val="%4."/>
      <w:lvlJc w:val="left"/>
      <w:pPr>
        <w:tabs>
          <w:tab w:val="num" w:pos="3420"/>
        </w:tabs>
        <w:ind w:left="3420" w:hanging="360"/>
      </w:pPr>
      <w:rPr>
        <w:rFonts w:ascii="Times New Roman" w:hAnsi="Times New Roman"/>
      </w:rPr>
    </w:lvl>
    <w:lvl w:ilvl="4" w:tplc="04190019">
      <w:start w:val="1"/>
      <w:numFmt w:val="lowerLetter"/>
      <w:lvlText w:val="%5."/>
      <w:lvlJc w:val="left"/>
      <w:pPr>
        <w:tabs>
          <w:tab w:val="num" w:pos="4140"/>
        </w:tabs>
        <w:ind w:left="4140" w:hanging="360"/>
      </w:pPr>
      <w:rPr>
        <w:rFonts w:ascii="Times New Roman" w:hAnsi="Times New Roman"/>
      </w:rPr>
    </w:lvl>
    <w:lvl w:ilvl="5" w:tplc="0419001B">
      <w:start w:val="1"/>
      <w:numFmt w:val="lowerRoman"/>
      <w:lvlText w:val="%6."/>
      <w:lvlJc w:val="right"/>
      <w:pPr>
        <w:tabs>
          <w:tab w:val="num" w:pos="4860"/>
        </w:tabs>
        <w:ind w:left="4860" w:hanging="180"/>
      </w:pPr>
      <w:rPr>
        <w:rFonts w:ascii="Times New Roman" w:hAnsi="Times New Roman"/>
      </w:rPr>
    </w:lvl>
    <w:lvl w:ilvl="6" w:tplc="0419000F">
      <w:start w:val="1"/>
      <w:numFmt w:val="decimal"/>
      <w:lvlText w:val="%7."/>
      <w:lvlJc w:val="left"/>
      <w:pPr>
        <w:tabs>
          <w:tab w:val="num" w:pos="5580"/>
        </w:tabs>
        <w:ind w:left="5580" w:hanging="360"/>
      </w:pPr>
      <w:rPr>
        <w:rFonts w:ascii="Times New Roman" w:hAnsi="Times New Roman"/>
      </w:rPr>
    </w:lvl>
    <w:lvl w:ilvl="7" w:tplc="04190019">
      <w:start w:val="1"/>
      <w:numFmt w:val="lowerLetter"/>
      <w:lvlText w:val="%8."/>
      <w:lvlJc w:val="left"/>
      <w:pPr>
        <w:tabs>
          <w:tab w:val="num" w:pos="6300"/>
        </w:tabs>
        <w:ind w:left="6300" w:hanging="360"/>
      </w:pPr>
      <w:rPr>
        <w:rFonts w:ascii="Times New Roman" w:hAnsi="Times New Roman"/>
      </w:rPr>
    </w:lvl>
    <w:lvl w:ilvl="8" w:tplc="0419001B">
      <w:start w:val="1"/>
      <w:numFmt w:val="lowerRoman"/>
      <w:lvlText w:val="%9."/>
      <w:lvlJc w:val="right"/>
      <w:pPr>
        <w:tabs>
          <w:tab w:val="num" w:pos="7020"/>
        </w:tabs>
        <w:ind w:left="702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344"/>
    <w:rsid w:val="00B23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rPr>
  </w:style>
  <w:style w:type="paragraph" w:styleId="Heading2">
    <w:name w:val="heading 2"/>
    <w:basedOn w:val="Normal"/>
    <w:next w:val="Normal"/>
    <w:link w:val="Heading2Char"/>
    <w:uiPriority w:val="99"/>
    <w:qFormat/>
    <w:pPr>
      <w:keepNext/>
      <w:autoSpaceDE/>
      <w:autoSpaceDN/>
      <w:jc w:val="center"/>
      <w:outlineLvl w:val="1"/>
    </w:pPr>
    <w:rPr>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26"/>
      <w:szCs w:val="26"/>
      <w:lang w:eastAsia="ru-RU"/>
    </w:rPr>
  </w:style>
  <w:style w:type="paragraph" w:styleId="BodyText">
    <w:name w:val="Body Text"/>
    <w:basedOn w:val="Normal"/>
    <w:link w:val="BodyTextChar"/>
    <w:uiPriority w:val="99"/>
    <w:pPr>
      <w:widowControl w:val="0"/>
      <w:autoSpaceDE/>
      <w:adjustRightInd w:val="0"/>
      <w:jc w:val="both"/>
    </w:pPr>
    <w:rPr>
      <w:sz w:val="24"/>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ru-RU"/>
    </w:rPr>
  </w:style>
  <w:style w:type="paragraph" w:styleId="Title">
    <w:name w:val="Title"/>
    <w:basedOn w:val="Normal"/>
    <w:link w:val="TitleChar"/>
    <w:uiPriority w:val="99"/>
    <w:qFormat/>
    <w:pPr>
      <w:autoSpaceDE/>
      <w:autoSpaceDN/>
      <w:jc w:val="center"/>
    </w:pPr>
    <w:rPr>
      <w:b/>
      <w:bCs/>
      <w:sz w:val="28"/>
      <w:szCs w:val="28"/>
    </w:rPr>
  </w:style>
  <w:style w:type="character" w:customStyle="1" w:styleId="TitleChar">
    <w:name w:val="Title Char"/>
    <w:basedOn w:val="DefaultParagraphFont"/>
    <w:link w:val="Title"/>
    <w:uiPriority w:val="99"/>
    <w:rPr>
      <w:rFonts w:ascii="Times New Roman" w:hAnsi="Times New Roman" w:cs="Times New Roman"/>
      <w:b/>
      <w:bCs/>
      <w:sz w:val="28"/>
      <w:szCs w:val="28"/>
      <w:lang w:eastAsia="ru-RU"/>
    </w:rPr>
  </w:style>
  <w:style w:type="character" w:customStyle="1" w:styleId="blk">
    <w:name w:val="blk"/>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378</Words>
  <Characters>2155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 о дате, на которую определяются лица, имеющие право на осуществление прав по эмиссионным ценным</dc:title>
  <dc:subject/>
  <dc:creator>Мария</dc:creator>
  <cp:keywords/>
  <dc:description/>
  <cp:lastModifiedBy>User</cp:lastModifiedBy>
  <cp:revision>3</cp:revision>
  <dcterms:created xsi:type="dcterms:W3CDTF">2017-05-22T05:44:00Z</dcterms:created>
  <dcterms:modified xsi:type="dcterms:W3CDTF">2017-05-22T06:10:00Z</dcterms:modified>
</cp:coreProperties>
</file>