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347" w:rsidRPr="00F64335" w:rsidRDefault="00F13347" w:rsidP="00F13347">
      <w:pPr>
        <w:tabs>
          <w:tab w:val="left" w:pos="567"/>
        </w:tabs>
        <w:contextualSpacing/>
        <w:jc w:val="right"/>
      </w:pPr>
      <w:r>
        <w:t>Приложение №</w:t>
      </w:r>
      <w:r>
        <w:t>2</w:t>
      </w:r>
      <w:r>
        <w:t xml:space="preserve"> к бюллетеню №1</w:t>
      </w:r>
    </w:p>
    <w:p w:rsidR="00252807" w:rsidRDefault="00252807"/>
    <w:p w:rsidR="00F13347" w:rsidRDefault="00F13347"/>
    <w:p w:rsidR="00F13347" w:rsidRPr="00E7294F" w:rsidRDefault="00F13347" w:rsidP="00F13347">
      <w:pPr>
        <w:tabs>
          <w:tab w:val="left" w:pos="567"/>
        </w:tabs>
        <w:contextualSpacing/>
        <w:jc w:val="both"/>
        <w:rPr>
          <w:b/>
          <w:color w:val="000000" w:themeColor="text1"/>
        </w:rPr>
      </w:pPr>
      <w:r w:rsidRPr="00E7294F">
        <w:rPr>
          <w:bCs/>
          <w:color w:val="000000" w:themeColor="text1"/>
        </w:rPr>
        <w:t>Рекомендовать годовому общему собранию акционеров не выплачивать дивиденды по результатам 2018 финансового года.</w:t>
      </w:r>
    </w:p>
    <w:p w:rsidR="00F13347" w:rsidRDefault="00F13347">
      <w:bookmarkStart w:id="0" w:name="_GoBack"/>
      <w:bookmarkEnd w:id="0"/>
    </w:p>
    <w:sectPr w:rsidR="00F1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2BA"/>
    <w:rsid w:val="00252807"/>
    <w:rsid w:val="005C02BA"/>
    <w:rsid w:val="00F1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C44B3"/>
  <w15:chartTrackingRefBased/>
  <w15:docId w15:val="{FBF7F4A8-D215-48CB-9C0C-AD5E46B1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2019-05-16T07:27:00Z</dcterms:created>
  <dcterms:modified xsi:type="dcterms:W3CDTF">2019-05-16T07:28:00Z</dcterms:modified>
</cp:coreProperties>
</file>