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E1A" w:rsidRPr="00AB0E1A" w:rsidRDefault="00AB0E1A" w:rsidP="00AB0E1A">
      <w:pPr>
        <w:jc w:val="right"/>
        <w:rPr>
          <w:rStyle w:val="a6"/>
          <w:i w:val="0"/>
        </w:rPr>
      </w:pPr>
      <w:r w:rsidRPr="00AB0E1A">
        <w:rPr>
          <w:rStyle w:val="a6"/>
          <w:i w:val="0"/>
        </w:rPr>
        <w:t>Утвержден</w:t>
      </w:r>
    </w:p>
    <w:p w:rsidR="00AB0E1A" w:rsidRPr="00AB0E1A" w:rsidRDefault="00AB0E1A" w:rsidP="00AB0E1A">
      <w:pPr>
        <w:jc w:val="right"/>
        <w:rPr>
          <w:rStyle w:val="a6"/>
          <w:i w:val="0"/>
        </w:rPr>
      </w:pPr>
      <w:r w:rsidRPr="00AB0E1A">
        <w:rPr>
          <w:rStyle w:val="a6"/>
          <w:i w:val="0"/>
        </w:rPr>
        <w:t>Годовым общим</w:t>
      </w:r>
    </w:p>
    <w:p w:rsidR="00AB0E1A" w:rsidRPr="00AB0E1A" w:rsidRDefault="00AB0E1A" w:rsidP="00AB0E1A">
      <w:pPr>
        <w:jc w:val="right"/>
        <w:rPr>
          <w:rStyle w:val="a6"/>
          <w:i w:val="0"/>
        </w:rPr>
      </w:pPr>
      <w:r w:rsidRPr="00AB0E1A">
        <w:rPr>
          <w:rStyle w:val="a6"/>
          <w:i w:val="0"/>
        </w:rPr>
        <w:t>собранием акционеров</w:t>
      </w:r>
    </w:p>
    <w:p w:rsidR="00AB0E1A" w:rsidRPr="00AB0E1A" w:rsidRDefault="00AB0E1A" w:rsidP="00AB0E1A">
      <w:pPr>
        <w:jc w:val="right"/>
        <w:rPr>
          <w:rStyle w:val="a6"/>
          <w:i w:val="0"/>
        </w:rPr>
      </w:pPr>
      <w:r w:rsidRPr="00AB0E1A">
        <w:rPr>
          <w:rStyle w:val="a6"/>
          <w:i w:val="0"/>
        </w:rPr>
        <w:t>ОАО «Востоктрансэнерго»</w:t>
      </w:r>
    </w:p>
    <w:p w:rsidR="00AB0E1A" w:rsidRPr="00AB0E1A" w:rsidRDefault="00AB0E1A" w:rsidP="00AB0E1A">
      <w:pPr>
        <w:jc w:val="right"/>
        <w:rPr>
          <w:rStyle w:val="a6"/>
          <w:i w:val="0"/>
        </w:rPr>
      </w:pPr>
      <w:r w:rsidRPr="00AB0E1A">
        <w:rPr>
          <w:rStyle w:val="a6"/>
          <w:i w:val="0"/>
        </w:rPr>
        <w:t xml:space="preserve">Протокол № </w:t>
      </w:r>
      <w:r>
        <w:rPr>
          <w:rStyle w:val="a6"/>
          <w:i w:val="0"/>
        </w:rPr>
        <w:t>1</w:t>
      </w:r>
    </w:p>
    <w:p w:rsidR="00AB0E1A" w:rsidRPr="00AB0E1A" w:rsidRDefault="00AB0E1A" w:rsidP="00AB0E1A">
      <w:pPr>
        <w:jc w:val="right"/>
        <w:rPr>
          <w:rStyle w:val="a6"/>
          <w:i w:val="0"/>
        </w:rPr>
      </w:pPr>
      <w:r w:rsidRPr="00AB0E1A">
        <w:rPr>
          <w:rStyle w:val="a6"/>
          <w:i w:val="0"/>
        </w:rPr>
        <w:t xml:space="preserve">от </w:t>
      </w:r>
      <w:r w:rsidR="007E0E9B">
        <w:rPr>
          <w:rStyle w:val="a6"/>
          <w:i w:val="0"/>
        </w:rPr>
        <w:t>30</w:t>
      </w:r>
      <w:r w:rsidRPr="00AB0E1A">
        <w:rPr>
          <w:rStyle w:val="a6"/>
          <w:i w:val="0"/>
        </w:rPr>
        <w:t>.0</w:t>
      </w:r>
      <w:r w:rsidR="007E0E9B">
        <w:rPr>
          <w:rStyle w:val="a6"/>
          <w:i w:val="0"/>
        </w:rPr>
        <w:t>6</w:t>
      </w:r>
      <w:r w:rsidRPr="00AB0E1A">
        <w:rPr>
          <w:rStyle w:val="a6"/>
          <w:i w:val="0"/>
        </w:rPr>
        <w:t>.20</w:t>
      </w:r>
      <w:r>
        <w:rPr>
          <w:rStyle w:val="a6"/>
          <w:i w:val="0"/>
        </w:rPr>
        <w:t>11</w:t>
      </w:r>
      <w:r w:rsidRPr="00AB0E1A">
        <w:rPr>
          <w:rStyle w:val="a6"/>
          <w:i w:val="0"/>
        </w:rPr>
        <w:t xml:space="preserve"> г.</w:t>
      </w:r>
    </w:p>
    <w:p w:rsidR="00AB0E1A" w:rsidRPr="00AB0E1A" w:rsidRDefault="00AB0E1A" w:rsidP="00AB0E1A">
      <w:pPr>
        <w:rPr>
          <w:rStyle w:val="a6"/>
          <w:i w:val="0"/>
        </w:rPr>
      </w:pPr>
    </w:p>
    <w:p w:rsidR="00AB0E1A" w:rsidRPr="00AB0E1A" w:rsidRDefault="00AB0E1A" w:rsidP="00AB0E1A">
      <w:pPr>
        <w:jc w:val="center"/>
        <w:rPr>
          <w:rStyle w:val="a6"/>
          <w:i w:val="0"/>
        </w:rPr>
      </w:pPr>
      <w:r w:rsidRPr="00AB0E1A">
        <w:rPr>
          <w:rStyle w:val="a6"/>
          <w:i w:val="0"/>
        </w:rPr>
        <w:t>Годовой отчет</w:t>
      </w:r>
    </w:p>
    <w:p w:rsidR="00AB0E1A" w:rsidRPr="00AB0E1A" w:rsidRDefault="00AB0E1A" w:rsidP="00AB0E1A">
      <w:pPr>
        <w:jc w:val="center"/>
        <w:rPr>
          <w:rStyle w:val="a6"/>
          <w:i w:val="0"/>
        </w:rPr>
      </w:pPr>
      <w:r w:rsidRPr="00AB0E1A">
        <w:rPr>
          <w:rStyle w:val="a6"/>
          <w:i w:val="0"/>
        </w:rPr>
        <w:t>Открытого акционерного общества</w:t>
      </w:r>
    </w:p>
    <w:p w:rsidR="00AB0E1A" w:rsidRPr="00AB0E1A" w:rsidRDefault="00AB0E1A" w:rsidP="00AB0E1A">
      <w:pPr>
        <w:jc w:val="center"/>
        <w:rPr>
          <w:rStyle w:val="a6"/>
          <w:i w:val="0"/>
        </w:rPr>
      </w:pPr>
      <w:r w:rsidRPr="00AB0E1A">
        <w:rPr>
          <w:rStyle w:val="a6"/>
          <w:i w:val="0"/>
        </w:rPr>
        <w:t>«Востоктрансэнерго»</w:t>
      </w:r>
    </w:p>
    <w:p w:rsidR="00AB0E1A" w:rsidRPr="00AB0E1A" w:rsidRDefault="00AB0E1A" w:rsidP="00AB0E1A">
      <w:pPr>
        <w:jc w:val="center"/>
        <w:rPr>
          <w:rStyle w:val="a6"/>
          <w:i w:val="0"/>
        </w:rPr>
      </w:pPr>
      <w:r w:rsidRPr="00AB0E1A">
        <w:rPr>
          <w:rStyle w:val="a6"/>
          <w:i w:val="0"/>
        </w:rPr>
        <w:t>за 2010 год</w:t>
      </w:r>
    </w:p>
    <w:p w:rsidR="00AB0E1A" w:rsidRPr="00AB0E1A" w:rsidRDefault="00AB0E1A" w:rsidP="00AB0E1A">
      <w:pPr>
        <w:rPr>
          <w:rStyle w:val="a6"/>
          <w:i w:val="0"/>
        </w:rPr>
      </w:pP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1. Положение акционерного общества в отрасли.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Основным видом деятельности общества является ремонт маневровых тепловозов типа ТГМ-4, ТГМ-6, ТЭМ-2 и их модификаций. 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Лидерами в отрасли являются бывшие предприятия Министерства путей сообщения – ОАО «Астраханский тепловозоремонтный завод», ОАО «Уфимский тепловозоремонтный завод», ОАО «Шадринское тепловозо </w:t>
      </w:r>
      <w:r w:rsidR="00DB5AD2">
        <w:rPr>
          <w:rStyle w:val="a6"/>
          <w:i w:val="0"/>
        </w:rPr>
        <w:t>-</w:t>
      </w:r>
      <w:r w:rsidRPr="00AB0E1A">
        <w:rPr>
          <w:rStyle w:val="a6"/>
          <w:i w:val="0"/>
        </w:rPr>
        <w:t xml:space="preserve"> вагоноремонтное объединение», ООО «Дизель сервис» г. Балаково.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По величине производства и по объему выполняемых заказов общество занимает достаточно скромное место среди предприятий отрасли, но наличие квалифицированных кадров, длительный опыт ремонта тепловозов, долгосрочные производственные связи позволяют обществу иметь постоянных заказчиков на ремонт тепловозов. 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2. Приоритетные направления деятельности акционерного общества.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Приоритетными направлениями деятельности акционерного общества ремонт маневровых тепловозов типа ТГМ-4, ТГМ-6, ТЭМ-2 и их модификаций.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3. Отчет совета директоров (наблюдательного совета) акционерного общества о результатах развития акционерного общества по приоритетным направлениям его деятельности.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Совет директоров уставом общества не предусмотрен.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4. Информация об объеме каждого из использованных акционерным обществом в отчетном году видов энергетических ресурсов (атомная энергия, тепловая энергия, электрическая энергия, электромагнитная энергия, нефть, бензин автомобильный, топливо дизельное, мазут топочный, газ естественный (природный), уголь, горючие сланцы, торф и др.) в натуральном выражении и в денежном выражении.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Тепловая энергия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  <w:t>3</w:t>
      </w:r>
      <w:r>
        <w:rPr>
          <w:rStyle w:val="a6"/>
          <w:i w:val="0"/>
        </w:rPr>
        <w:t>317</w:t>
      </w:r>
      <w:r w:rsidRPr="00AB0E1A">
        <w:rPr>
          <w:rStyle w:val="a6"/>
          <w:i w:val="0"/>
        </w:rPr>
        <w:t xml:space="preserve"> Гкал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  <w:t>2</w:t>
      </w:r>
      <w:r>
        <w:rPr>
          <w:rStyle w:val="a6"/>
          <w:i w:val="0"/>
        </w:rPr>
        <w:t>754</w:t>
      </w:r>
      <w:r w:rsidRPr="00AB0E1A">
        <w:rPr>
          <w:rStyle w:val="a6"/>
          <w:i w:val="0"/>
        </w:rPr>
        <w:t xml:space="preserve"> тыс. руб.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Электроэнергия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  <w:t>1</w:t>
      </w:r>
      <w:r>
        <w:rPr>
          <w:rStyle w:val="a6"/>
          <w:i w:val="0"/>
        </w:rPr>
        <w:t>476</w:t>
      </w:r>
      <w:r w:rsidRPr="00AB0E1A">
        <w:rPr>
          <w:rStyle w:val="a6"/>
          <w:i w:val="0"/>
        </w:rPr>
        <w:t xml:space="preserve"> тыс. кВт/ч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>
        <w:rPr>
          <w:rStyle w:val="a6"/>
          <w:i w:val="0"/>
        </w:rPr>
        <w:t>3375</w:t>
      </w:r>
      <w:r w:rsidRPr="00AB0E1A">
        <w:rPr>
          <w:rStyle w:val="a6"/>
          <w:i w:val="0"/>
        </w:rPr>
        <w:t xml:space="preserve"> тыс. руб.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Бензин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>
        <w:rPr>
          <w:rStyle w:val="a6"/>
          <w:i w:val="0"/>
        </w:rPr>
        <w:t xml:space="preserve"> 2688 литров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>
        <w:rPr>
          <w:rStyle w:val="a6"/>
          <w:i w:val="0"/>
        </w:rPr>
        <w:t>56,6</w:t>
      </w:r>
      <w:r w:rsidRPr="00AB0E1A">
        <w:rPr>
          <w:rStyle w:val="a6"/>
          <w:i w:val="0"/>
        </w:rPr>
        <w:t xml:space="preserve"> тыс. руб.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Дизтопливо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>
        <w:rPr>
          <w:rStyle w:val="a6"/>
          <w:i w:val="0"/>
        </w:rPr>
        <w:t>3 112</w:t>
      </w:r>
      <w:r w:rsidRPr="00AB0E1A">
        <w:rPr>
          <w:rStyle w:val="a6"/>
          <w:i w:val="0"/>
        </w:rPr>
        <w:t xml:space="preserve"> литр</w:t>
      </w:r>
      <w:r>
        <w:rPr>
          <w:rStyle w:val="a6"/>
          <w:i w:val="0"/>
        </w:rPr>
        <w:t>ов</w:t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>
        <w:rPr>
          <w:rStyle w:val="a6"/>
          <w:i w:val="0"/>
        </w:rPr>
        <w:t>57,7</w:t>
      </w:r>
      <w:r w:rsidRPr="00AB0E1A">
        <w:rPr>
          <w:rStyle w:val="a6"/>
          <w:i w:val="0"/>
        </w:rPr>
        <w:t xml:space="preserve"> тыс. руб.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5. Перспективы развития акционерного общества.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Основной задачей общества является наращивание объемов производства в послекризисный период, возобновление производственных связей с основными заказчиками, сертификация технологических процессов ремонта тепловозов. 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6. Отчет о выплате объявленных (начисленных) дивидендов по акциям акционерного общества.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Решение о выплате дивидендов по акциям общества не принималось.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7. Описание основных факторов риска, связанных с деятельностью акционерного общества.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Экономический риск – в послекризисный период на рынке усиливается конкуренция по стоимости и срокам работ, по качеству ремонта. 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Социальный риск – отсутствие на рынке труда квалифицированных рабочих кадров. На обучение вновь принятых рабочих требуется значительное время.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lastRenderedPageBreak/>
        <w:t>Технический риск – несмотря на проводимый ремонт и поддержание основных средств в работоспособном состоянии, происходит старение основных средств и оборудования.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Экологический риск – производство соответствуют экологическим требованиям. Остановок производства по экологическим причинам не предвидится.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8. Перечень совершенных акционерным обществом в отчетном году сделок, признаваемых в соответствии с Федеральным законом "Об акционерных обществах" крупными сделками, а также иных сделок, на совершение которых в соответствии с уставом акционерного общества распространяется порядок одобрения крупных сделок, с указанием по каждой сделке ее существенных условий и органа управления акционерного общества, принявшего решение о ее одобрении.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Крупные сделки не совершались.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9. Перечень совершенных акционерным обществом в отчетном году сделок, признаваемых в соответствии с Федеральным законом "Об акционерных обществах" сделками, в совершении которых имелась заинтересованность, с указанием по каждой сделке заинтересованного лица (лиц), существенных условий и органа управления акционерного общества, принявшего решение о ее одобрении.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Сделки в совершении которых имелась заинтересованность не совершались.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10. Состав совета директоров (наблюдательного совета) акционерного общества, включая информацию об изменениях в составе совета директоров (наблюдательного совета) акционерного общества, имевших место в отчетном году, и сведения о членах совета директоров (наблюдательного совета) акционерного общества, в том числе их краткие биографические данные, доля их участия в уставном капитале акционерного общества и доля принадлежащих им обыкновенных акций акционерного общества, а в случае если в течение отчетного года имели место совершенные членами совета директоров (наблюдательного совета) сделки по приобретению или отчуждению акций акционерного общества, - также сведения о таких сделках с указанием по каждой сделке даты ее совершения, содержания сделки, категорий (типа) и количества акций акционерного общества, являвшихся предметом сделки.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Совет директоров уставом общества не предусмотрен.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11. Сведения о лице, занимающем должность (осуществляющем функции) единоличного исполнительного органа (управляющем, управляющей организации) акционерного общества, и членах коллегиального исполнительного органа акционерного общества, в том числе их краткие биографические данные, доля их участия в уставном капитале акционерного общества и доля принадлежащих им обыкновенных акций акционерного общества, а в случае если в течение отчетного года имели место совершенные лицом, занимающим должность (осуществляющим функции) единоличного исполнительного органа, и/или членами коллегиального исполнительного органа сделки по приобретению или отчуждению акций акционерного общества, - также сведения о таких сделках с указанием по каждой сделке даты ее совершения, содержания сделки, категории (типа) и количества акций акционерного общества, являвшихся предметом сделки.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Единоличный исполнительный орган (генеральный директор) Пушков Евгений Георгиевич. Избран общим собранием акционеров общества </w:t>
      </w:r>
      <w:r>
        <w:rPr>
          <w:rStyle w:val="a6"/>
          <w:i w:val="0"/>
        </w:rPr>
        <w:t>29</w:t>
      </w:r>
      <w:r w:rsidRPr="00AB0E1A">
        <w:rPr>
          <w:rStyle w:val="a6"/>
          <w:i w:val="0"/>
        </w:rPr>
        <w:t>.06.200</w:t>
      </w:r>
      <w:r>
        <w:rPr>
          <w:rStyle w:val="a6"/>
          <w:i w:val="0"/>
        </w:rPr>
        <w:t>9</w:t>
      </w:r>
      <w:r w:rsidRPr="00AB0E1A">
        <w:rPr>
          <w:rStyle w:val="a6"/>
          <w:i w:val="0"/>
        </w:rPr>
        <w:t xml:space="preserve"> года сроком на 5 лет. Работает в отрасли с 1969 года. Работает в обществе с момента учреждения. Доля участия в уставном капитале общества 13,32 %, доля принадлежащих ему обыкновенных акций общества 13,32 %. Коллегиальный исполнительный орган общества уставом не предусмотрен.</w:t>
      </w:r>
      <w:r w:rsidR="00DB5AD2">
        <w:rPr>
          <w:rStyle w:val="a6"/>
          <w:i w:val="0"/>
        </w:rPr>
        <w:t xml:space="preserve"> Сделок по приобретению или отчуждению акций акционерного общества не производилось.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12. Критерии определения и размер вознаграждения (компенсации расходов) лица, занимающего должность единоличного исполнительного органа (управляющего, управляющей организации) акционерного общества, каждого члена коллегиального исполнительного органа акционерного общества и каждого члена совета директоров (наблюдательного совета) акционерного общества или общий размер вознаграждения </w:t>
      </w:r>
      <w:r w:rsidRPr="00AB0E1A">
        <w:rPr>
          <w:rStyle w:val="a6"/>
          <w:i w:val="0"/>
        </w:rPr>
        <w:lastRenderedPageBreak/>
        <w:t>(компенсации расходов) всех этих лиц, выплаченного или выплачиваемого по результатам отчетного года.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Вознаграждение по результатам отчетного года лица, занимающего должность единоличного исполнительного органа, трудовым контрактом и решениями общего собрания акционеров не предусмотрены. 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Совет директоров и коллегиальный исполнительный орган общества уставом не предусмотрен.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13. Сведения о соблюдении акционерным обществом Кодекса корпоративного поведения.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Сведения прилагаются к годовому отчету (Приложения № 1).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14. Иная информация, предусмотренная уставом акционерного общества или иным внутренним документом акционерного общества.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Не предусмотрена.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15. Раздел о состоянии чистых активов акционерного общества.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Не заполняется, поскольку стоимость чистых активов акционерного общества значительно больше его уставного капитала.</w:t>
      </w:r>
    </w:p>
    <w:p w:rsidR="00AB0E1A" w:rsidRPr="00AB0E1A" w:rsidRDefault="00AB0E1A" w:rsidP="00AB0E1A">
      <w:pPr>
        <w:rPr>
          <w:rStyle w:val="a6"/>
          <w:i w:val="0"/>
        </w:rPr>
      </w:pPr>
    </w:p>
    <w:p w:rsidR="00AB0E1A" w:rsidRPr="00AB0E1A" w:rsidRDefault="00AB0E1A" w:rsidP="00AB0E1A">
      <w:pPr>
        <w:rPr>
          <w:rStyle w:val="a6"/>
          <w:i w:val="0"/>
        </w:rPr>
      </w:pP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 xml:space="preserve">Генеральный директор </w:t>
      </w: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ОАО «Востоктрансэнерго»                                             Е.Г. Пушков</w:t>
      </w:r>
    </w:p>
    <w:p w:rsidR="00AB0E1A" w:rsidRPr="00AB0E1A" w:rsidRDefault="00AB0E1A" w:rsidP="00AB0E1A">
      <w:pPr>
        <w:rPr>
          <w:rStyle w:val="a6"/>
          <w:i w:val="0"/>
        </w:rPr>
      </w:pPr>
    </w:p>
    <w:p w:rsidR="00AB0E1A" w:rsidRPr="00AB0E1A" w:rsidRDefault="00AB0E1A" w:rsidP="00AB0E1A">
      <w:pPr>
        <w:rPr>
          <w:rStyle w:val="a6"/>
          <w:i w:val="0"/>
        </w:rPr>
      </w:pP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>Главный бухгалтер                                                          Н.Н. Литвинова</w:t>
      </w:r>
    </w:p>
    <w:p w:rsidR="00AB0E1A" w:rsidRPr="00AB0E1A" w:rsidRDefault="00AB0E1A" w:rsidP="00AB0E1A">
      <w:pPr>
        <w:rPr>
          <w:rStyle w:val="a6"/>
          <w:i w:val="0"/>
        </w:rPr>
      </w:pPr>
    </w:p>
    <w:p w:rsidR="00AB0E1A" w:rsidRPr="00AB0E1A" w:rsidRDefault="00AB0E1A" w:rsidP="00AB0E1A">
      <w:pPr>
        <w:rPr>
          <w:rStyle w:val="a6"/>
          <w:i w:val="0"/>
        </w:rPr>
      </w:pP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</w:r>
      <w:r w:rsidRPr="00AB0E1A">
        <w:rPr>
          <w:rStyle w:val="a6"/>
          <w:i w:val="0"/>
        </w:rPr>
        <w:tab/>
        <w:t>М.П.</w:t>
      </w:r>
    </w:p>
    <w:p w:rsidR="00AB0E1A" w:rsidRPr="00AB0E1A" w:rsidRDefault="00AB0E1A" w:rsidP="00AB0E1A">
      <w:pPr>
        <w:rPr>
          <w:rStyle w:val="a6"/>
          <w:i w:val="0"/>
        </w:rPr>
      </w:pPr>
    </w:p>
    <w:p w:rsidR="005014FD" w:rsidRPr="00AB0E1A" w:rsidRDefault="009B70A4" w:rsidP="00AB0E1A">
      <w:pPr>
        <w:rPr>
          <w:sz w:val="22"/>
          <w:szCs w:val="22"/>
        </w:rPr>
      </w:pPr>
    </w:p>
    <w:sectPr w:rsidR="005014FD" w:rsidRPr="00AB0E1A" w:rsidSect="00EF5EA6">
      <w:footerReference w:type="even" r:id="rId6"/>
      <w:footerReference w:type="default" r:id="rId7"/>
      <w:pgSz w:w="11905" w:h="16838" w:code="9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0A4" w:rsidRDefault="009B70A4" w:rsidP="00B03FD6">
      <w:r>
        <w:separator/>
      </w:r>
    </w:p>
  </w:endnote>
  <w:endnote w:type="continuationSeparator" w:id="1">
    <w:p w:rsidR="009B70A4" w:rsidRDefault="009B70A4" w:rsidP="00B03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380" w:rsidRDefault="00B03FD6" w:rsidP="005F464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B0E1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0380" w:rsidRDefault="009B70A4" w:rsidP="008C377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380" w:rsidRDefault="00B03FD6" w:rsidP="005F464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B0E1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0E9B">
      <w:rPr>
        <w:rStyle w:val="a5"/>
        <w:noProof/>
      </w:rPr>
      <w:t>3</w:t>
    </w:r>
    <w:r>
      <w:rPr>
        <w:rStyle w:val="a5"/>
      </w:rPr>
      <w:fldChar w:fldCharType="end"/>
    </w:r>
  </w:p>
  <w:p w:rsidR="00E40380" w:rsidRDefault="009B70A4" w:rsidP="008C377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0A4" w:rsidRDefault="009B70A4" w:rsidP="00B03FD6">
      <w:r>
        <w:separator/>
      </w:r>
    </w:p>
  </w:footnote>
  <w:footnote w:type="continuationSeparator" w:id="1">
    <w:p w:rsidR="009B70A4" w:rsidRDefault="009B70A4" w:rsidP="00B03F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2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0E1A"/>
    <w:rsid w:val="00034C9A"/>
    <w:rsid w:val="00127CD3"/>
    <w:rsid w:val="004E1E1A"/>
    <w:rsid w:val="007E0E9B"/>
    <w:rsid w:val="008029A4"/>
    <w:rsid w:val="00970933"/>
    <w:rsid w:val="00973014"/>
    <w:rsid w:val="009B70A4"/>
    <w:rsid w:val="00AB0E1A"/>
    <w:rsid w:val="00B03FD6"/>
    <w:rsid w:val="00CC4A81"/>
    <w:rsid w:val="00DB5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0E1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E1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footer"/>
    <w:basedOn w:val="a"/>
    <w:link w:val="a4"/>
    <w:rsid w:val="00AB0E1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B0E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B0E1A"/>
  </w:style>
  <w:style w:type="character" w:styleId="a6">
    <w:name w:val="Emphasis"/>
    <w:basedOn w:val="a0"/>
    <w:qFormat/>
    <w:rsid w:val="00AB0E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Востоктрансэнерго</Company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3</cp:revision>
  <dcterms:created xsi:type="dcterms:W3CDTF">2011-07-05T03:06:00Z</dcterms:created>
  <dcterms:modified xsi:type="dcterms:W3CDTF">2011-07-05T04:10:00Z</dcterms:modified>
</cp:coreProperties>
</file>