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F229" w14:textId="77777777" w:rsidR="004A5755" w:rsidRDefault="004A5755" w:rsidP="009D65CE">
      <w:pPr>
        <w:ind w:right="-850"/>
      </w:pPr>
      <w:bookmarkStart w:id="0" w:name="_GoBack"/>
      <w:bookmarkEnd w:id="0"/>
    </w:p>
    <w:p w14:paraId="01BEEDAF" w14:textId="77777777" w:rsidR="008E4071" w:rsidRPr="00A06A2F" w:rsidRDefault="007C592D" w:rsidP="00D8731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3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E4071" w:rsidRPr="00D87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06A2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Утвержден </w:t>
      </w:r>
    </w:p>
    <w:p w14:paraId="14B0FD70" w14:textId="77777777" w:rsidR="007C592D" w:rsidRPr="00D8731D" w:rsidRDefault="008E4071" w:rsidP="00D87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C592D" w:rsidRPr="00D8731D">
        <w:rPr>
          <w:rFonts w:ascii="Times New Roman" w:hAnsi="Times New Roman" w:cs="Times New Roman"/>
          <w:b/>
          <w:sz w:val="28"/>
          <w:szCs w:val="28"/>
        </w:rPr>
        <w:t>Советом директоров</w:t>
      </w:r>
      <w:r w:rsidRPr="00D8731D">
        <w:rPr>
          <w:rFonts w:ascii="Times New Roman" w:hAnsi="Times New Roman" w:cs="Times New Roman"/>
          <w:b/>
          <w:sz w:val="28"/>
          <w:szCs w:val="28"/>
        </w:rPr>
        <w:t xml:space="preserve"> ОАО «</w:t>
      </w:r>
      <w:proofErr w:type="spellStart"/>
      <w:r w:rsidRPr="00D8731D">
        <w:rPr>
          <w:rFonts w:ascii="Times New Roman" w:hAnsi="Times New Roman" w:cs="Times New Roman"/>
          <w:b/>
          <w:sz w:val="28"/>
          <w:szCs w:val="28"/>
        </w:rPr>
        <w:t>Терекалмаз</w:t>
      </w:r>
      <w:proofErr w:type="spellEnd"/>
      <w:r w:rsidRPr="00D8731D">
        <w:rPr>
          <w:rFonts w:ascii="Times New Roman" w:hAnsi="Times New Roman" w:cs="Times New Roman"/>
          <w:b/>
          <w:sz w:val="28"/>
          <w:szCs w:val="28"/>
        </w:rPr>
        <w:t>»</w:t>
      </w:r>
    </w:p>
    <w:p w14:paraId="64F76144" w14:textId="77777777" w:rsidR="008E4071" w:rsidRPr="00D8731D" w:rsidRDefault="008E4071" w:rsidP="00D87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Протокол № </w:t>
      </w:r>
      <w:proofErr w:type="gramStart"/>
      <w:r w:rsidRPr="00D8731D">
        <w:rPr>
          <w:rFonts w:ascii="Times New Roman" w:hAnsi="Times New Roman" w:cs="Times New Roman"/>
          <w:b/>
          <w:sz w:val="28"/>
          <w:szCs w:val="28"/>
        </w:rPr>
        <w:t>483  от</w:t>
      </w:r>
      <w:proofErr w:type="gramEnd"/>
      <w:r w:rsidRPr="00D8731D">
        <w:rPr>
          <w:rFonts w:ascii="Times New Roman" w:hAnsi="Times New Roman" w:cs="Times New Roman"/>
          <w:b/>
          <w:sz w:val="28"/>
          <w:szCs w:val="28"/>
        </w:rPr>
        <w:t xml:space="preserve"> 27 марта 2014 года</w:t>
      </w:r>
    </w:p>
    <w:p w14:paraId="015B6BA9" w14:textId="77777777" w:rsidR="008E4071" w:rsidRPr="00D8731D" w:rsidRDefault="008E4071" w:rsidP="00D873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3DF2D6" w14:textId="77777777" w:rsidR="008E4071" w:rsidRPr="00A06A2F" w:rsidRDefault="008E4071" w:rsidP="00D8731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A06A2F">
        <w:rPr>
          <w:rFonts w:ascii="Times New Roman" w:hAnsi="Times New Roman" w:cs="Times New Roman"/>
          <w:b/>
          <w:sz w:val="28"/>
          <w:szCs w:val="28"/>
          <w:u w:val="single"/>
        </w:rPr>
        <w:t>Принят</w:t>
      </w:r>
    </w:p>
    <w:p w14:paraId="0299B751" w14:textId="77777777" w:rsidR="008E4071" w:rsidRPr="00D8731D" w:rsidRDefault="008E4071" w:rsidP="00D87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Годовым собранием акционеров</w:t>
      </w:r>
    </w:p>
    <w:p w14:paraId="5E1A468C" w14:textId="77777777" w:rsidR="008E4071" w:rsidRPr="00D8731D" w:rsidRDefault="008E4071" w:rsidP="00D87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Протокол № 24 от 30 мая 2015 года</w:t>
      </w:r>
    </w:p>
    <w:p w14:paraId="31116030" w14:textId="77777777" w:rsidR="007C592D" w:rsidRPr="00D8731D" w:rsidRDefault="007C592D">
      <w:pPr>
        <w:rPr>
          <w:rFonts w:ascii="Times New Roman" w:hAnsi="Times New Roman" w:cs="Times New Roman"/>
          <w:b/>
          <w:sz w:val="28"/>
          <w:szCs w:val="28"/>
        </w:rPr>
      </w:pPr>
    </w:p>
    <w:p w14:paraId="02A3D2C7" w14:textId="77777777" w:rsidR="007C592D" w:rsidRPr="00D8731D" w:rsidRDefault="007C592D">
      <w:pPr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61D9DEC1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7E43705F" w14:textId="77777777" w:rsidR="007C592D" w:rsidRPr="00A06A2F" w:rsidRDefault="008E4071">
      <w:pPr>
        <w:rPr>
          <w:rFonts w:ascii="Times New Roman" w:hAnsi="Times New Roman" w:cs="Times New Roman"/>
          <w:b/>
          <w:sz w:val="36"/>
          <w:szCs w:val="36"/>
        </w:rPr>
      </w:pPr>
      <w:r w:rsidRPr="00A06A2F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06A2F">
        <w:rPr>
          <w:rFonts w:ascii="Times New Roman" w:hAnsi="Times New Roman" w:cs="Times New Roman"/>
          <w:b/>
          <w:sz w:val="36"/>
          <w:szCs w:val="36"/>
        </w:rPr>
        <w:t xml:space="preserve">                         Годовой отчет</w:t>
      </w:r>
    </w:p>
    <w:p w14:paraId="7C3AF0AF" w14:textId="77777777" w:rsidR="008E4071" w:rsidRPr="00A06A2F" w:rsidRDefault="00A06A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</w:t>
      </w:r>
      <w:r w:rsidR="008E4071" w:rsidRPr="00A06A2F">
        <w:rPr>
          <w:rFonts w:ascii="Times New Roman" w:hAnsi="Times New Roman" w:cs="Times New Roman"/>
          <w:b/>
          <w:sz w:val="36"/>
          <w:szCs w:val="36"/>
        </w:rPr>
        <w:t>ткрытого</w:t>
      </w:r>
      <w:proofErr w:type="gramEnd"/>
      <w:r w:rsidR="008E4071" w:rsidRPr="00A06A2F">
        <w:rPr>
          <w:rFonts w:ascii="Times New Roman" w:hAnsi="Times New Roman" w:cs="Times New Roman"/>
          <w:b/>
          <w:sz w:val="36"/>
          <w:szCs w:val="36"/>
        </w:rPr>
        <w:t xml:space="preserve"> акционерного общества «</w:t>
      </w:r>
      <w:proofErr w:type="spellStart"/>
      <w:r w:rsidR="008E4071" w:rsidRPr="00A06A2F">
        <w:rPr>
          <w:rFonts w:ascii="Times New Roman" w:hAnsi="Times New Roman" w:cs="Times New Roman"/>
          <w:b/>
          <w:sz w:val="36"/>
          <w:szCs w:val="36"/>
        </w:rPr>
        <w:t>Терекалмаз</w:t>
      </w:r>
      <w:proofErr w:type="spellEnd"/>
      <w:r w:rsidR="008E4071" w:rsidRPr="00A06A2F">
        <w:rPr>
          <w:rFonts w:ascii="Times New Roman" w:hAnsi="Times New Roman" w:cs="Times New Roman"/>
          <w:b/>
          <w:sz w:val="36"/>
          <w:szCs w:val="36"/>
        </w:rPr>
        <w:t>»</w:t>
      </w:r>
    </w:p>
    <w:p w14:paraId="7C30534B" w14:textId="77777777" w:rsidR="008E4071" w:rsidRPr="00A06A2F" w:rsidRDefault="008E4071">
      <w:pPr>
        <w:rPr>
          <w:rFonts w:ascii="Times New Roman" w:hAnsi="Times New Roman" w:cs="Times New Roman"/>
          <w:b/>
          <w:sz w:val="36"/>
          <w:szCs w:val="36"/>
        </w:rPr>
      </w:pPr>
      <w:r w:rsidRPr="00A06A2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06A2F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proofErr w:type="gramStart"/>
      <w:r w:rsidR="00A06A2F">
        <w:rPr>
          <w:rFonts w:ascii="Times New Roman" w:hAnsi="Times New Roman" w:cs="Times New Roman"/>
          <w:b/>
          <w:sz w:val="36"/>
          <w:szCs w:val="36"/>
        </w:rPr>
        <w:t>п</w:t>
      </w:r>
      <w:r w:rsidRPr="00A06A2F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Pr="00A06A2F">
        <w:rPr>
          <w:rFonts w:ascii="Times New Roman" w:hAnsi="Times New Roman" w:cs="Times New Roman"/>
          <w:b/>
          <w:sz w:val="36"/>
          <w:szCs w:val="36"/>
        </w:rPr>
        <w:t xml:space="preserve"> результатам работы за 2014 год</w:t>
      </w:r>
    </w:p>
    <w:p w14:paraId="64F86FD6" w14:textId="77777777" w:rsidR="008E4071" w:rsidRPr="00A06A2F" w:rsidRDefault="008E4071">
      <w:pPr>
        <w:rPr>
          <w:rFonts w:ascii="Times New Roman" w:hAnsi="Times New Roman" w:cs="Times New Roman"/>
          <w:b/>
          <w:sz w:val="36"/>
          <w:szCs w:val="36"/>
        </w:rPr>
      </w:pPr>
    </w:p>
    <w:p w14:paraId="29E74DDE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29A3116C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6FE0128E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0234C5E1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3D97F89E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0A29A1DE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7A336B4E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Генеральный директор                                   А.Б. </w:t>
      </w:r>
      <w:proofErr w:type="spellStart"/>
      <w:r w:rsidRPr="00D8731D">
        <w:rPr>
          <w:rFonts w:ascii="Times New Roman" w:hAnsi="Times New Roman" w:cs="Times New Roman"/>
          <w:b/>
          <w:sz w:val="28"/>
          <w:szCs w:val="28"/>
        </w:rPr>
        <w:t>Тлеужев</w:t>
      </w:r>
      <w:proofErr w:type="spellEnd"/>
    </w:p>
    <w:p w14:paraId="21A88F3E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                                Начальник УЭО                                                Л.В. </w:t>
      </w:r>
      <w:proofErr w:type="spellStart"/>
      <w:r w:rsidRPr="00D8731D">
        <w:rPr>
          <w:rFonts w:ascii="Times New Roman" w:hAnsi="Times New Roman" w:cs="Times New Roman"/>
          <w:b/>
          <w:sz w:val="28"/>
          <w:szCs w:val="28"/>
        </w:rPr>
        <w:t>Хупова</w:t>
      </w:r>
      <w:proofErr w:type="spellEnd"/>
    </w:p>
    <w:p w14:paraId="5A8BF365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46055A89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</w:p>
    <w:p w14:paraId="566F0260" w14:textId="77777777" w:rsidR="008E4071" w:rsidRPr="00D8731D" w:rsidRDefault="008E4071">
      <w:pPr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proofErr w:type="spellStart"/>
      <w:r w:rsidRPr="00D8731D">
        <w:rPr>
          <w:rFonts w:ascii="Times New Roman" w:hAnsi="Times New Roman" w:cs="Times New Roman"/>
          <w:b/>
          <w:sz w:val="28"/>
          <w:szCs w:val="28"/>
        </w:rPr>
        <w:t>Добагова</w:t>
      </w:r>
      <w:proofErr w:type="spellEnd"/>
      <w:r w:rsidRPr="00D8731D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D8731D">
        <w:rPr>
          <w:rFonts w:ascii="Times New Roman" w:hAnsi="Times New Roman" w:cs="Times New Roman"/>
          <w:b/>
          <w:sz w:val="28"/>
          <w:szCs w:val="28"/>
        </w:rPr>
        <w:t>Хаутиевна</w:t>
      </w:r>
      <w:proofErr w:type="spellEnd"/>
      <w:r w:rsidRPr="00D8731D">
        <w:rPr>
          <w:rFonts w:ascii="Times New Roman" w:hAnsi="Times New Roman" w:cs="Times New Roman"/>
          <w:b/>
          <w:sz w:val="28"/>
          <w:szCs w:val="28"/>
        </w:rPr>
        <w:t xml:space="preserve"> тел.(86632) 41-1-76</w:t>
      </w:r>
    </w:p>
    <w:p w14:paraId="7BBAF716" w14:textId="77777777" w:rsidR="00D8731D" w:rsidRPr="00D8731D" w:rsidRDefault="00D8731D">
      <w:pPr>
        <w:rPr>
          <w:rFonts w:ascii="Times New Roman" w:hAnsi="Times New Roman" w:cs="Times New Roman"/>
          <w:sz w:val="28"/>
          <w:szCs w:val="28"/>
        </w:rPr>
      </w:pPr>
    </w:p>
    <w:p w14:paraId="4EA5FB81" w14:textId="77777777" w:rsidR="00D8731D" w:rsidRDefault="00A06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50AE6F16" w14:textId="77777777" w:rsidR="00A06A2F" w:rsidRDefault="00A06A2F">
      <w:pPr>
        <w:rPr>
          <w:rFonts w:ascii="Times New Roman" w:hAnsi="Times New Roman" w:cs="Times New Roman"/>
          <w:sz w:val="28"/>
          <w:szCs w:val="28"/>
        </w:rPr>
      </w:pPr>
    </w:p>
    <w:p w14:paraId="4EE8760F" w14:textId="77777777" w:rsidR="00A06A2F" w:rsidRDefault="00A06A2F">
      <w:pPr>
        <w:rPr>
          <w:rFonts w:ascii="Times New Roman" w:hAnsi="Times New Roman" w:cs="Times New Roman"/>
          <w:sz w:val="28"/>
          <w:szCs w:val="28"/>
        </w:rPr>
      </w:pPr>
    </w:p>
    <w:p w14:paraId="4705F9D6" w14:textId="77777777" w:rsidR="00A06A2F" w:rsidRPr="00A06A2F" w:rsidRDefault="00A06A2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06A2F">
        <w:rPr>
          <w:rFonts w:ascii="Times New Roman" w:hAnsi="Times New Roman" w:cs="Times New Roman"/>
          <w:b/>
          <w:sz w:val="36"/>
          <w:szCs w:val="36"/>
          <w:u w:val="single"/>
        </w:rPr>
        <w:t>Содержание</w:t>
      </w:r>
    </w:p>
    <w:p w14:paraId="4B4E5F28" w14:textId="77777777" w:rsidR="00A06A2F" w:rsidRPr="00996597" w:rsidRDefault="00A06A2F" w:rsidP="0099659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Положение акционерного общества в отрасли.</w:t>
      </w:r>
    </w:p>
    <w:p w14:paraId="18A56843" w14:textId="77777777" w:rsidR="00A06A2F" w:rsidRPr="00996597" w:rsidRDefault="00A06A2F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акционерного общества.</w:t>
      </w:r>
    </w:p>
    <w:p w14:paraId="1C9D86F1" w14:textId="77777777" w:rsidR="00A06A2F" w:rsidRPr="00996597" w:rsidRDefault="00A06A2F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Отчет Совета директоров акционерного общества по приоритетным направлениям его деятельности.</w:t>
      </w:r>
    </w:p>
    <w:p w14:paraId="624E92A8" w14:textId="77777777" w:rsidR="00A06A2F" w:rsidRPr="00996597" w:rsidRDefault="00A06A2F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Информация об объеме каждого из использованных акционерным обществом в отчетном году видов энергетических ресурсов в натуральном выражении</w:t>
      </w:r>
      <w:r w:rsidR="00810B32" w:rsidRPr="00996597">
        <w:rPr>
          <w:rFonts w:ascii="Times New Roman" w:hAnsi="Times New Roman" w:cs="Times New Roman"/>
          <w:b/>
          <w:sz w:val="28"/>
          <w:szCs w:val="28"/>
        </w:rPr>
        <w:t xml:space="preserve"> и в денежном выражении.</w:t>
      </w:r>
    </w:p>
    <w:p w14:paraId="7B5D1F54" w14:textId="77777777" w:rsidR="00810B32" w:rsidRPr="00996597" w:rsidRDefault="00810B32" w:rsidP="00810B3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 Перспективы развития акционерного общества.</w:t>
      </w:r>
    </w:p>
    <w:p w14:paraId="3E87D3B9" w14:textId="77777777" w:rsidR="00810B32" w:rsidRPr="00996597" w:rsidRDefault="00810B32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Отчет о выплате объявленных </w:t>
      </w:r>
      <w:r w:rsidR="00996597" w:rsidRPr="00996597">
        <w:rPr>
          <w:rFonts w:ascii="Times New Roman" w:hAnsi="Times New Roman" w:cs="Times New Roman"/>
          <w:b/>
          <w:sz w:val="28"/>
          <w:szCs w:val="28"/>
        </w:rPr>
        <w:t xml:space="preserve">(начисленных) </w:t>
      </w:r>
      <w:r w:rsidRPr="00996597">
        <w:rPr>
          <w:rFonts w:ascii="Times New Roman" w:hAnsi="Times New Roman" w:cs="Times New Roman"/>
          <w:b/>
          <w:sz w:val="28"/>
          <w:szCs w:val="28"/>
        </w:rPr>
        <w:t>дивидендов.</w:t>
      </w:r>
    </w:p>
    <w:p w14:paraId="7BD243EF" w14:textId="77777777" w:rsidR="00810B32" w:rsidRPr="00996597" w:rsidRDefault="00810B32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Описание основных факторов риска, связанных с </w:t>
      </w:r>
      <w:proofErr w:type="gramStart"/>
      <w:r w:rsidRPr="00996597">
        <w:rPr>
          <w:rFonts w:ascii="Times New Roman" w:hAnsi="Times New Roman" w:cs="Times New Roman"/>
          <w:b/>
          <w:sz w:val="28"/>
          <w:szCs w:val="28"/>
        </w:rPr>
        <w:t>деятельностью  акционерного</w:t>
      </w:r>
      <w:proofErr w:type="gramEnd"/>
      <w:r w:rsidRPr="00996597">
        <w:rPr>
          <w:rFonts w:ascii="Times New Roman" w:hAnsi="Times New Roman" w:cs="Times New Roman"/>
          <w:b/>
          <w:sz w:val="28"/>
          <w:szCs w:val="28"/>
        </w:rPr>
        <w:t xml:space="preserve"> общества.</w:t>
      </w:r>
    </w:p>
    <w:p w14:paraId="4C851EF6" w14:textId="77777777" w:rsidR="00810B32" w:rsidRPr="00996597" w:rsidRDefault="00810B32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Перечень совершенных акционерным обществом в отчетном году сделок, признаваемых в соответствии с ФЗ «Об акционерных обществах» крупными сделками.</w:t>
      </w:r>
    </w:p>
    <w:p w14:paraId="2A019604" w14:textId="77777777" w:rsidR="00810B32" w:rsidRPr="00996597" w:rsidRDefault="00810B32" w:rsidP="00810B3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Перечень совершенных акционерным обществом в отчетном году сделок, признаваемых в соответствии с ФЗ «Об акционерных </w:t>
      </w:r>
      <w:proofErr w:type="gramStart"/>
      <w:r w:rsidRPr="00996597">
        <w:rPr>
          <w:rFonts w:ascii="Times New Roman" w:hAnsi="Times New Roman" w:cs="Times New Roman"/>
          <w:b/>
          <w:sz w:val="28"/>
          <w:szCs w:val="28"/>
        </w:rPr>
        <w:t>обществах»  сделками</w:t>
      </w:r>
      <w:proofErr w:type="gramEnd"/>
      <w:r w:rsidRPr="00996597">
        <w:rPr>
          <w:rFonts w:ascii="Times New Roman" w:hAnsi="Times New Roman" w:cs="Times New Roman"/>
          <w:b/>
          <w:sz w:val="28"/>
          <w:szCs w:val="28"/>
        </w:rPr>
        <w:t>, в совершении которых имелась заинтересованность.</w:t>
      </w:r>
    </w:p>
    <w:p w14:paraId="19E4D858" w14:textId="77777777" w:rsidR="00810B32" w:rsidRPr="00996597" w:rsidRDefault="00810B32" w:rsidP="00810B3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Состав Совета директоров акционерного общества.</w:t>
      </w:r>
    </w:p>
    <w:p w14:paraId="7B4C66FB" w14:textId="77777777" w:rsidR="00810B32" w:rsidRPr="00996597" w:rsidRDefault="00810B32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Сведения о лице занимающем должность единоличного исполнительного органа акционерного общества.</w:t>
      </w:r>
    </w:p>
    <w:p w14:paraId="3D17A22C" w14:textId="77777777" w:rsidR="00810B32" w:rsidRPr="00996597" w:rsidRDefault="00810B32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Критерии определения и размер вознаграждения единоличного исполнительного органа акционерного общества и Совета директоров Общества.</w:t>
      </w:r>
    </w:p>
    <w:p w14:paraId="4EB5368B" w14:textId="77777777" w:rsidR="00810B32" w:rsidRPr="00996597" w:rsidRDefault="00996597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Сведения о соблюдении акционерным обществом рекомендаций Кодекса корпоративного поведения.</w:t>
      </w:r>
    </w:p>
    <w:p w14:paraId="18FA540E" w14:textId="77777777" w:rsidR="00996597" w:rsidRPr="00996597" w:rsidRDefault="00996597" w:rsidP="00A06A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>Иная информация, предусмотренная Уставом акционерного общества или иным внутренним документом Общества.</w:t>
      </w:r>
    </w:p>
    <w:p w14:paraId="56776398" w14:textId="77777777" w:rsidR="00A06A2F" w:rsidRPr="00996597" w:rsidRDefault="00A06A2F">
      <w:pPr>
        <w:rPr>
          <w:rFonts w:ascii="Times New Roman" w:hAnsi="Times New Roman" w:cs="Times New Roman"/>
          <w:b/>
          <w:sz w:val="28"/>
          <w:szCs w:val="28"/>
        </w:rPr>
      </w:pPr>
      <w:r w:rsidRPr="009965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3D349523" w14:textId="77777777" w:rsidR="00996597" w:rsidRPr="00996597" w:rsidRDefault="00996597" w:rsidP="00D8731D">
      <w:pPr>
        <w:rPr>
          <w:rFonts w:ascii="Times New Roman" w:hAnsi="Times New Roman" w:cs="Times New Roman"/>
          <w:b/>
          <w:sz w:val="36"/>
          <w:szCs w:val="28"/>
        </w:rPr>
      </w:pPr>
    </w:p>
    <w:p w14:paraId="254A2E2B" w14:textId="77777777" w:rsidR="00996597" w:rsidRDefault="00996597" w:rsidP="00D8731D">
      <w:pPr>
        <w:rPr>
          <w:rFonts w:ascii="Times New Roman" w:hAnsi="Times New Roman" w:cs="Times New Roman"/>
          <w:b/>
          <w:sz w:val="36"/>
          <w:szCs w:val="28"/>
        </w:rPr>
      </w:pPr>
    </w:p>
    <w:p w14:paraId="29D9E1EB" w14:textId="77777777" w:rsidR="00996597" w:rsidRDefault="00996597" w:rsidP="00D8731D">
      <w:pPr>
        <w:rPr>
          <w:rFonts w:ascii="Times New Roman" w:hAnsi="Times New Roman" w:cs="Times New Roman"/>
          <w:b/>
          <w:sz w:val="36"/>
          <w:szCs w:val="28"/>
        </w:rPr>
      </w:pPr>
    </w:p>
    <w:p w14:paraId="26BCB3FD" w14:textId="77777777" w:rsidR="00996597" w:rsidRDefault="00996597" w:rsidP="00D8731D">
      <w:pPr>
        <w:rPr>
          <w:rFonts w:ascii="Times New Roman" w:hAnsi="Times New Roman" w:cs="Times New Roman"/>
          <w:b/>
          <w:sz w:val="36"/>
          <w:szCs w:val="28"/>
        </w:rPr>
      </w:pPr>
    </w:p>
    <w:p w14:paraId="3051AC8E" w14:textId="77777777" w:rsidR="00996597" w:rsidRDefault="00996597" w:rsidP="00D8731D">
      <w:pPr>
        <w:rPr>
          <w:rFonts w:ascii="Times New Roman" w:hAnsi="Times New Roman" w:cs="Times New Roman"/>
          <w:b/>
          <w:sz w:val="36"/>
          <w:szCs w:val="28"/>
        </w:rPr>
      </w:pPr>
    </w:p>
    <w:p w14:paraId="48558D8A" w14:textId="15F14D4C" w:rsidR="00D8731D" w:rsidRPr="000B1A81" w:rsidRDefault="00D8731D" w:rsidP="000B1A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1A81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Положение акционерного общества в отрасли</w:t>
      </w:r>
      <w:r w:rsidRPr="000B1A81">
        <w:rPr>
          <w:rFonts w:ascii="Times New Roman" w:hAnsi="Times New Roman" w:cs="Times New Roman"/>
          <w:sz w:val="36"/>
          <w:szCs w:val="28"/>
        </w:rPr>
        <w:t xml:space="preserve"> </w:t>
      </w:r>
      <w:r w:rsidRPr="000B1A81">
        <w:rPr>
          <w:rFonts w:ascii="Times New Roman" w:hAnsi="Times New Roman" w:cs="Times New Roman"/>
          <w:sz w:val="28"/>
          <w:szCs w:val="28"/>
        </w:rPr>
        <w:t xml:space="preserve">(производство </w:t>
      </w:r>
      <w:proofErr w:type="gramStart"/>
      <w:r w:rsidRPr="000B1A81">
        <w:rPr>
          <w:rFonts w:ascii="Times New Roman" w:hAnsi="Times New Roman" w:cs="Times New Roman"/>
          <w:sz w:val="28"/>
          <w:szCs w:val="28"/>
        </w:rPr>
        <w:t>и  сбыт</w:t>
      </w:r>
      <w:proofErr w:type="gramEnd"/>
      <w:r w:rsidRPr="000B1A81">
        <w:rPr>
          <w:rFonts w:ascii="Times New Roman" w:hAnsi="Times New Roman" w:cs="Times New Roman"/>
          <w:sz w:val="28"/>
          <w:szCs w:val="28"/>
        </w:rPr>
        <w:t xml:space="preserve"> алмазного инструмента)</w:t>
      </w:r>
    </w:p>
    <w:p w14:paraId="1523CBB1" w14:textId="77777777" w:rsidR="00D8731D" w:rsidRPr="00D8731D" w:rsidRDefault="00D8731D" w:rsidP="00D8731D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D8731D">
        <w:rPr>
          <w:rFonts w:ascii="Times New Roman" w:hAnsi="Times New Roman" w:cs="Times New Roman"/>
          <w:sz w:val="28"/>
          <w:szCs w:val="28"/>
        </w:rPr>
        <w:t>Терекалмаз</w:t>
      </w:r>
      <w:proofErr w:type="spellEnd"/>
      <w:proofErr w:type="gramStart"/>
      <w:r w:rsidRPr="00D8731D">
        <w:rPr>
          <w:rFonts w:ascii="Times New Roman" w:hAnsi="Times New Roman" w:cs="Times New Roman"/>
          <w:sz w:val="28"/>
          <w:szCs w:val="28"/>
        </w:rPr>
        <w:t>»,  специализируется</w:t>
      </w:r>
      <w:proofErr w:type="gramEnd"/>
      <w:r w:rsidRPr="00D8731D">
        <w:rPr>
          <w:rFonts w:ascii="Times New Roman" w:hAnsi="Times New Roman" w:cs="Times New Roman"/>
          <w:sz w:val="28"/>
          <w:szCs w:val="28"/>
        </w:rPr>
        <w:t xml:space="preserve"> на выпуске алмазного инструмента для  буровых и геологоразведочных работ,  машиностроительного комплекса и  авиастроения, камнеобработки и стройиндустрии. </w:t>
      </w:r>
    </w:p>
    <w:p w14:paraId="1949EFA3" w14:textId="77777777" w:rsidR="00D8731D" w:rsidRPr="00D8731D" w:rsidRDefault="00D8731D" w:rsidP="00D8731D">
      <w:pPr>
        <w:tabs>
          <w:tab w:val="left" w:pos="977"/>
        </w:tabs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8731D">
        <w:rPr>
          <w:rFonts w:ascii="Times New Roman" w:hAnsi="Times New Roman" w:cs="Times New Roman"/>
          <w:sz w:val="28"/>
          <w:szCs w:val="28"/>
        </w:rPr>
        <w:t>Открытое  акционерное</w:t>
      </w:r>
      <w:proofErr w:type="gramEnd"/>
      <w:r w:rsidRPr="00D8731D">
        <w:rPr>
          <w:rFonts w:ascii="Times New Roman" w:hAnsi="Times New Roman" w:cs="Times New Roman"/>
          <w:sz w:val="28"/>
          <w:szCs w:val="28"/>
        </w:rPr>
        <w:t xml:space="preserve">  общество  «Терский завод алмазного инструмента» осуществляет деятельность в указанной</w:t>
      </w:r>
      <w:r w:rsidR="009A7654">
        <w:rPr>
          <w:rFonts w:ascii="Times New Roman" w:hAnsi="Times New Roman" w:cs="Times New Roman"/>
          <w:sz w:val="26"/>
          <w:szCs w:val="26"/>
        </w:rPr>
        <w:t xml:space="preserve"> отрасли</w:t>
      </w:r>
      <w:r w:rsidRPr="00D8731D">
        <w:rPr>
          <w:rFonts w:ascii="Times New Roman" w:hAnsi="Times New Roman" w:cs="Times New Roman"/>
          <w:sz w:val="26"/>
          <w:szCs w:val="26"/>
        </w:rPr>
        <w:t xml:space="preserve"> 54 года</w:t>
      </w:r>
      <w:r w:rsidRPr="00D8731D">
        <w:rPr>
          <w:rFonts w:ascii="Times New Roman" w:hAnsi="Times New Roman" w:cs="Times New Roman"/>
          <w:b/>
          <w:sz w:val="26"/>
          <w:szCs w:val="26"/>
        </w:rPr>
        <w:t>.</w:t>
      </w:r>
    </w:p>
    <w:p w14:paraId="447B0BBE" w14:textId="77777777" w:rsidR="00D8731D" w:rsidRPr="00D8731D" w:rsidRDefault="00D8731D" w:rsidP="00D8731D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 xml:space="preserve">Рынок   </w:t>
      </w:r>
      <w:proofErr w:type="gramStart"/>
      <w:r w:rsidRPr="00D8731D">
        <w:rPr>
          <w:rFonts w:ascii="Times New Roman" w:hAnsi="Times New Roman" w:cs="Times New Roman"/>
          <w:b/>
          <w:sz w:val="28"/>
          <w:szCs w:val="28"/>
        </w:rPr>
        <w:t>алмазного  инструмента</w:t>
      </w:r>
      <w:proofErr w:type="gramEnd"/>
      <w:r w:rsidRPr="00D8731D">
        <w:rPr>
          <w:rFonts w:ascii="Times New Roman" w:hAnsi="Times New Roman" w:cs="Times New Roman"/>
          <w:b/>
          <w:sz w:val="28"/>
          <w:szCs w:val="28"/>
        </w:rPr>
        <w:t xml:space="preserve">  в России</w:t>
      </w:r>
    </w:p>
    <w:p w14:paraId="3F7E5576" w14:textId="77777777" w:rsidR="00D8731D" w:rsidRPr="00D8731D" w:rsidRDefault="00D8731D" w:rsidP="00D8731D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9176B" wp14:editId="59B423B5">
            <wp:extent cx="3724275" cy="24955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A156BF" w14:textId="77777777" w:rsidR="00D8731D" w:rsidRPr="00D8731D" w:rsidRDefault="00D8731D" w:rsidP="00D8731D">
      <w:pPr>
        <w:tabs>
          <w:tab w:val="left" w:pos="977"/>
        </w:tabs>
        <w:rPr>
          <w:rFonts w:ascii="Times New Roman" w:hAnsi="Times New Roman" w:cs="Times New Roman"/>
          <w:b/>
          <w:sz w:val="26"/>
          <w:szCs w:val="26"/>
        </w:rPr>
      </w:pPr>
      <w:r w:rsidRPr="00D8731D">
        <w:rPr>
          <w:rFonts w:ascii="Times New Roman" w:hAnsi="Times New Roman" w:cs="Times New Roman"/>
          <w:sz w:val="28"/>
          <w:szCs w:val="28"/>
        </w:rPr>
        <w:tab/>
      </w:r>
      <w:r w:rsidRPr="00D8731D">
        <w:rPr>
          <w:rFonts w:ascii="Times New Roman" w:hAnsi="Times New Roman" w:cs="Times New Roman"/>
          <w:b/>
          <w:sz w:val="28"/>
          <w:szCs w:val="26"/>
        </w:rPr>
        <w:t>Основные конкуренты в соответствующей отрасли</w:t>
      </w:r>
    </w:p>
    <w:p w14:paraId="0489D726" w14:textId="77777777" w:rsidR="00D8731D" w:rsidRPr="00D8731D" w:rsidRDefault="00D8731D" w:rsidP="00D8731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>На российском рынке наиболее крупными конкурентами ОАО «ТЕРЕКАЛМАЗ» по производству алмазного инструмента являются:</w:t>
      </w: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80" w:firstRow="0" w:lastRow="0" w:firstColumn="1" w:lastColumn="0" w:noHBand="0" w:noVBand="0"/>
      </w:tblPr>
      <w:tblGrid>
        <w:gridCol w:w="4077"/>
        <w:gridCol w:w="5127"/>
      </w:tblGrid>
      <w:tr w:rsidR="00D8731D" w:rsidRPr="00D8731D" w14:paraId="5BD672E4" w14:textId="77777777" w:rsidTr="00D8731D">
        <w:tc>
          <w:tcPr>
            <w:tcW w:w="4077" w:type="dxa"/>
            <w:shd w:val="clear" w:color="auto" w:fill="FFFFFF"/>
          </w:tcPr>
          <w:p w14:paraId="370F86BA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7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российские  конкуренты</w:t>
            </w:r>
            <w:proofErr w:type="gramEnd"/>
          </w:p>
          <w:p w14:paraId="69B050B4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FFFFFF"/>
          </w:tcPr>
          <w:p w14:paraId="2C150001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Эзтаб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г.Санкт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-Петербург; </w:t>
            </w:r>
          </w:p>
          <w:p w14:paraId="3CADEE72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ТулНИИГП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г.Тула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>;</w:t>
            </w:r>
          </w:p>
          <w:p w14:paraId="77A15B36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 xml:space="preserve"> ЗАО «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Дайминтех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г.Санкт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-Петербург; </w:t>
            </w:r>
          </w:p>
          <w:p w14:paraId="0435119E" w14:textId="77777777" w:rsidR="00D8731D" w:rsidRPr="00D8731D" w:rsidRDefault="009A7654" w:rsidP="009D65C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D8731D" w:rsidRPr="00D8731D">
              <w:rPr>
                <w:rFonts w:ascii="Times New Roman" w:hAnsi="Times New Roman"/>
                <w:sz w:val="24"/>
              </w:rPr>
              <w:t>ЗАО «</w:t>
            </w:r>
            <w:proofErr w:type="spellStart"/>
            <w:r w:rsidR="00D8731D" w:rsidRPr="00D8731D">
              <w:rPr>
                <w:rFonts w:ascii="Times New Roman" w:hAnsi="Times New Roman"/>
                <w:sz w:val="24"/>
              </w:rPr>
              <w:t>Томал</w:t>
            </w:r>
            <w:proofErr w:type="spellEnd"/>
            <w:r w:rsidR="00D8731D" w:rsidRPr="00D8731D"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 w:rsidR="00D8731D" w:rsidRPr="00D8731D">
              <w:rPr>
                <w:rFonts w:ascii="Times New Roman" w:hAnsi="Times New Roman"/>
                <w:sz w:val="24"/>
              </w:rPr>
              <w:t>г.Томилино</w:t>
            </w:r>
            <w:proofErr w:type="spellEnd"/>
            <w:r w:rsidR="00D8731D" w:rsidRPr="00D8731D">
              <w:rPr>
                <w:rFonts w:ascii="Times New Roman" w:hAnsi="Times New Roman"/>
                <w:sz w:val="24"/>
              </w:rPr>
              <w:t xml:space="preserve">, Московская область; </w:t>
            </w:r>
          </w:p>
          <w:p w14:paraId="02F19C90" w14:textId="646E0E0B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Веневский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 завод алмазного инструмента» г. </w:t>
            </w:r>
            <w:r w:rsidR="009A7654">
              <w:rPr>
                <w:rFonts w:ascii="Times New Roman" w:hAnsi="Times New Roman"/>
                <w:sz w:val="24"/>
              </w:rPr>
              <w:t xml:space="preserve">  </w:t>
            </w:r>
            <w:r w:rsidR="00D966D8">
              <w:rPr>
                <w:rFonts w:ascii="Times New Roman" w:hAnsi="Times New Roman"/>
                <w:sz w:val="24"/>
              </w:rPr>
              <w:t xml:space="preserve">  </w:t>
            </w:r>
            <w:r w:rsidRPr="00D8731D">
              <w:rPr>
                <w:rFonts w:ascii="Times New Roman" w:hAnsi="Times New Roman"/>
                <w:sz w:val="24"/>
              </w:rPr>
              <w:t xml:space="preserve">Венев; </w:t>
            </w:r>
          </w:p>
          <w:p w14:paraId="0A1002B4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 xml:space="preserve">«Винницкий завод алмазного инструмента» 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г.Винницк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; </w:t>
            </w:r>
          </w:p>
          <w:p w14:paraId="23446453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 xml:space="preserve">«ВНИИАЛМАЗ» 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г.Москва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; </w:t>
            </w:r>
          </w:p>
          <w:p w14:paraId="11C97FB7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</w:rPr>
            </w:pPr>
            <w:r w:rsidRPr="00D8731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Кермет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», 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г.Москва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>;</w:t>
            </w:r>
          </w:p>
          <w:p w14:paraId="7A354337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8731D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D8731D">
              <w:rPr>
                <w:rFonts w:ascii="Times New Roman" w:hAnsi="Times New Roman"/>
                <w:sz w:val="24"/>
              </w:rPr>
              <w:t>Диамир</w:t>
            </w:r>
            <w:proofErr w:type="spellEnd"/>
            <w:r w:rsidRPr="00D8731D">
              <w:rPr>
                <w:rFonts w:ascii="Times New Roman" w:hAnsi="Times New Roman"/>
                <w:sz w:val="24"/>
              </w:rPr>
              <w:t xml:space="preserve">»; </w:t>
            </w:r>
          </w:p>
          <w:p w14:paraId="68609239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D8731D">
              <w:rPr>
                <w:rFonts w:ascii="Times New Roman" w:hAnsi="Times New Roman"/>
                <w:sz w:val="24"/>
              </w:rPr>
              <w:t>«Адель».</w:t>
            </w:r>
          </w:p>
        </w:tc>
      </w:tr>
      <w:tr w:rsidR="00D8731D" w:rsidRPr="00D8731D" w14:paraId="4B58B250" w14:textId="77777777" w:rsidTr="00D8731D">
        <w:tc>
          <w:tcPr>
            <w:tcW w:w="4077" w:type="dxa"/>
            <w:shd w:val="clear" w:color="auto" w:fill="FFFFFF"/>
          </w:tcPr>
          <w:p w14:paraId="4D027B08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зарубежные</w:t>
            </w:r>
            <w:proofErr w:type="gramEnd"/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конкуренты </w:t>
            </w:r>
          </w:p>
          <w:p w14:paraId="7336B274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FFFFFF"/>
          </w:tcPr>
          <w:p w14:paraId="1468F019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8731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“BOART LONGYER” </w:t>
            </w:r>
            <w:r w:rsidRPr="00D8731D">
              <w:rPr>
                <w:rFonts w:ascii="Times New Roman" w:hAnsi="Times New Roman"/>
                <w:sz w:val="24"/>
              </w:rPr>
              <w:t>США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</w:p>
          <w:p w14:paraId="18CFAE8D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“ATLAS COPCO” </w:t>
            </w:r>
            <w:r w:rsidRPr="00D8731D">
              <w:rPr>
                <w:rFonts w:ascii="Times New Roman" w:hAnsi="Times New Roman"/>
                <w:sz w:val="24"/>
              </w:rPr>
              <w:t>Швеция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</w:p>
          <w:p w14:paraId="726804ED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“FOPDGIO” </w:t>
            </w:r>
            <w:r w:rsidRPr="00D8731D">
              <w:rPr>
                <w:rFonts w:ascii="Times New Roman" w:hAnsi="Times New Roman"/>
                <w:sz w:val="24"/>
              </w:rPr>
              <w:t>Канада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</w:p>
          <w:p w14:paraId="1B91F0A9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“TIROLIT” </w:t>
            </w:r>
            <w:r w:rsidRPr="00D8731D">
              <w:rPr>
                <w:rFonts w:ascii="Times New Roman" w:hAnsi="Times New Roman"/>
                <w:sz w:val="24"/>
              </w:rPr>
              <w:t>Австрия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</w:p>
          <w:p w14:paraId="48CA40E9" w14:textId="77777777" w:rsidR="00D8731D" w:rsidRPr="00D8731D" w:rsidRDefault="00D8731D" w:rsidP="009D65CE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“DIABIU” </w:t>
            </w:r>
            <w:r w:rsidRPr="00D8731D">
              <w:rPr>
                <w:rFonts w:ascii="Times New Roman" w:hAnsi="Times New Roman"/>
                <w:sz w:val="24"/>
              </w:rPr>
              <w:t>Германия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</w:p>
          <w:p w14:paraId="1229095B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8731D">
              <w:rPr>
                <w:rFonts w:ascii="Times New Roman" w:hAnsi="Times New Roman"/>
                <w:sz w:val="24"/>
                <w:lang w:val="en-US"/>
              </w:rPr>
              <w:t xml:space="preserve">“DISTAR” </w:t>
            </w:r>
            <w:r w:rsidRPr="00D8731D">
              <w:rPr>
                <w:rFonts w:ascii="Times New Roman" w:hAnsi="Times New Roman"/>
                <w:sz w:val="24"/>
              </w:rPr>
              <w:t>Украина</w:t>
            </w:r>
            <w:r w:rsidRPr="00D8731D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</w:tbl>
    <w:p w14:paraId="69E98A7D" w14:textId="77777777" w:rsidR="00D966D8" w:rsidRDefault="00D8731D" w:rsidP="00D966D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lastRenderedPageBreak/>
        <w:t xml:space="preserve"> Несмотря на то, что зарубежных производителей в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количественном  соотношении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меньше, чем российских, большая часть рынка принадлежит  именно им. И эта ситуация  по всем направлениям производства алмазного инструмента. </w:t>
      </w:r>
    </w:p>
    <w:p w14:paraId="150F8F34" w14:textId="65BD5DB8" w:rsidR="00D8731D" w:rsidRPr="00D8731D" w:rsidRDefault="00D966D8" w:rsidP="00D966D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Рынок  продаж</w:t>
      </w:r>
      <w:proofErr w:type="gramEnd"/>
      <w:r w:rsidRPr="00D966D8">
        <w:rPr>
          <w:rFonts w:ascii="Times New Roman" w:hAnsi="Times New Roman" w:cs="Times New Roman"/>
          <w:sz w:val="26"/>
          <w:szCs w:val="26"/>
        </w:rPr>
        <w:t xml:space="preserve"> </w:t>
      </w:r>
      <w:r w:rsidRPr="00D8731D">
        <w:rPr>
          <w:rFonts w:ascii="Times New Roman" w:hAnsi="Times New Roman" w:cs="Times New Roman"/>
          <w:sz w:val="26"/>
          <w:szCs w:val="26"/>
        </w:rPr>
        <w:t>по типам алмазного  инструмента, производ</w:t>
      </w:r>
      <w:r>
        <w:rPr>
          <w:rFonts w:ascii="Times New Roman" w:hAnsi="Times New Roman" w:cs="Times New Roman"/>
          <w:sz w:val="26"/>
          <w:szCs w:val="26"/>
        </w:rPr>
        <w:t>имого   нашим предприятием,</w:t>
      </w:r>
      <w:r w:rsidR="00D8731D" w:rsidRPr="00D873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 следующим </w:t>
      </w:r>
      <w:r w:rsidR="00D8731D" w:rsidRPr="00D8731D">
        <w:rPr>
          <w:rFonts w:ascii="Times New Roman" w:hAnsi="Times New Roman" w:cs="Times New Roman"/>
          <w:sz w:val="26"/>
          <w:szCs w:val="26"/>
        </w:rPr>
        <w:t>образом:</w:t>
      </w:r>
    </w:p>
    <w:p w14:paraId="10F58AEC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b/>
          <w:caps/>
          <w:sz w:val="26"/>
          <w:szCs w:val="26"/>
        </w:rPr>
        <w:t xml:space="preserve"> ПО Буровому инструменту</w:t>
      </w:r>
      <w:r w:rsidRPr="00D873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DF28B9" w14:textId="77777777" w:rsidR="00D8731D" w:rsidRPr="00D8731D" w:rsidRDefault="00D8731D" w:rsidP="00D8731D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D8731D">
        <w:rPr>
          <w:rFonts w:ascii="Times New Roman" w:hAnsi="Times New Roman"/>
          <w:sz w:val="26"/>
          <w:szCs w:val="26"/>
        </w:rPr>
        <w:t>Российские производители – около 20%</w:t>
      </w:r>
    </w:p>
    <w:p w14:paraId="2A2A0265" w14:textId="77777777" w:rsidR="00D8731D" w:rsidRPr="00D8731D" w:rsidRDefault="00D8731D" w:rsidP="00D8731D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D8731D">
        <w:rPr>
          <w:rFonts w:ascii="Times New Roman" w:hAnsi="Times New Roman"/>
          <w:sz w:val="26"/>
          <w:szCs w:val="26"/>
        </w:rPr>
        <w:t>Зарубежные производители – около 80%.</w:t>
      </w:r>
    </w:p>
    <w:p w14:paraId="28AAB795" w14:textId="77777777" w:rsidR="00D8731D" w:rsidRPr="00D8731D" w:rsidRDefault="00D8731D" w:rsidP="00D8731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31D">
        <w:rPr>
          <w:rFonts w:ascii="Times New Roman" w:hAnsi="Times New Roman" w:cs="Times New Roman"/>
          <w:b/>
          <w:color w:val="000000"/>
          <w:sz w:val="26"/>
          <w:szCs w:val="26"/>
        </w:rPr>
        <w:t>Основная доля рынка среди отечественных производителей принадлежит ОАО «</w:t>
      </w:r>
      <w:proofErr w:type="spellStart"/>
      <w:r w:rsidRPr="00D8731D">
        <w:rPr>
          <w:rFonts w:ascii="Times New Roman" w:hAnsi="Times New Roman" w:cs="Times New Roman"/>
          <w:b/>
          <w:color w:val="000000"/>
          <w:sz w:val="26"/>
          <w:szCs w:val="26"/>
        </w:rPr>
        <w:t>Терекалмаз</w:t>
      </w:r>
      <w:proofErr w:type="spellEnd"/>
      <w:r w:rsidRPr="00D873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». </w:t>
      </w:r>
    </w:p>
    <w:p w14:paraId="38518F45" w14:textId="6881E5F6" w:rsidR="00D8731D" w:rsidRPr="00D8731D" w:rsidRDefault="00D8731D" w:rsidP="00D873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731D">
        <w:rPr>
          <w:rFonts w:ascii="Times New Roman" w:hAnsi="Times New Roman" w:cs="Times New Roman"/>
          <w:color w:val="000000"/>
          <w:sz w:val="26"/>
          <w:szCs w:val="26"/>
        </w:rPr>
        <w:t xml:space="preserve">Небольшую нишу – порядка 5% занимает отечественная фирма </w:t>
      </w:r>
      <w:proofErr w:type="gramStart"/>
      <w:r w:rsidRPr="00D8731D">
        <w:rPr>
          <w:rFonts w:ascii="Times New Roman" w:hAnsi="Times New Roman" w:cs="Times New Roman"/>
          <w:color w:val="000000"/>
          <w:sz w:val="26"/>
          <w:szCs w:val="26"/>
        </w:rPr>
        <w:t>ЗАО  «</w:t>
      </w:r>
      <w:proofErr w:type="gramEnd"/>
      <w:r w:rsidRPr="00D8731D">
        <w:rPr>
          <w:rFonts w:ascii="Times New Roman" w:hAnsi="Times New Roman" w:cs="Times New Roman"/>
          <w:color w:val="000000"/>
          <w:sz w:val="26"/>
          <w:szCs w:val="26"/>
        </w:rPr>
        <w:t>Горнопромышленная группа «ЭЗТАБ» (</w:t>
      </w:r>
      <w:proofErr w:type="spellStart"/>
      <w:r w:rsidRPr="00D8731D">
        <w:rPr>
          <w:rFonts w:ascii="Times New Roman" w:hAnsi="Times New Roman" w:cs="Times New Roman"/>
          <w:color w:val="000000"/>
          <w:sz w:val="26"/>
          <w:szCs w:val="26"/>
        </w:rPr>
        <w:t>г.Санкт</w:t>
      </w:r>
      <w:proofErr w:type="spellEnd"/>
      <w:r w:rsidRPr="00D8731D">
        <w:rPr>
          <w:rFonts w:ascii="Times New Roman" w:hAnsi="Times New Roman" w:cs="Times New Roman"/>
          <w:color w:val="000000"/>
          <w:sz w:val="26"/>
          <w:szCs w:val="26"/>
        </w:rPr>
        <w:t xml:space="preserve">-Петербург) -  производитель бурового оборудования и инструмента для геологоразведочного бурения.  Имеет свою долю на </w:t>
      </w:r>
      <w:proofErr w:type="gramStart"/>
      <w:r w:rsidRPr="00D8731D">
        <w:rPr>
          <w:rFonts w:ascii="Times New Roman" w:hAnsi="Times New Roman" w:cs="Times New Roman"/>
          <w:color w:val="000000"/>
          <w:sz w:val="26"/>
          <w:szCs w:val="26"/>
        </w:rPr>
        <w:t>рынке  алмазного</w:t>
      </w:r>
      <w:proofErr w:type="gramEnd"/>
      <w:r w:rsidRPr="00D8731D">
        <w:rPr>
          <w:rFonts w:ascii="Times New Roman" w:hAnsi="Times New Roman" w:cs="Times New Roman"/>
          <w:color w:val="000000"/>
          <w:sz w:val="26"/>
          <w:szCs w:val="26"/>
        </w:rPr>
        <w:t xml:space="preserve"> инструмента для бурения твердых </w:t>
      </w:r>
      <w:r w:rsidR="00D966D8">
        <w:rPr>
          <w:rFonts w:ascii="Times New Roman" w:hAnsi="Times New Roman" w:cs="Times New Roman"/>
          <w:color w:val="000000"/>
          <w:sz w:val="26"/>
          <w:szCs w:val="26"/>
        </w:rPr>
        <w:t xml:space="preserve">пород и </w:t>
      </w:r>
      <w:proofErr w:type="spellStart"/>
      <w:r w:rsidR="00D966D8">
        <w:rPr>
          <w:rFonts w:ascii="Times New Roman" w:hAnsi="Times New Roman" w:cs="Times New Roman"/>
          <w:color w:val="000000"/>
          <w:sz w:val="26"/>
          <w:szCs w:val="26"/>
        </w:rPr>
        <w:t>ТулНИГП</w:t>
      </w:r>
      <w:proofErr w:type="spellEnd"/>
      <w:r w:rsidR="00D966D8">
        <w:rPr>
          <w:rFonts w:ascii="Times New Roman" w:hAnsi="Times New Roman" w:cs="Times New Roman"/>
          <w:color w:val="000000"/>
          <w:sz w:val="26"/>
          <w:szCs w:val="26"/>
        </w:rPr>
        <w:t>. Н</w:t>
      </w:r>
      <w:r w:rsidRPr="00D8731D">
        <w:rPr>
          <w:rFonts w:ascii="Times New Roman" w:hAnsi="Times New Roman" w:cs="Times New Roman"/>
          <w:color w:val="000000"/>
          <w:sz w:val="26"/>
          <w:szCs w:val="26"/>
        </w:rPr>
        <w:t>а рынке стал продвигать свою продукцию ООО</w:t>
      </w:r>
      <w:r w:rsidR="00D966D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="00D966D8">
        <w:rPr>
          <w:rFonts w:ascii="Times New Roman" w:hAnsi="Times New Roman" w:cs="Times New Roman"/>
          <w:color w:val="000000"/>
          <w:sz w:val="26"/>
          <w:szCs w:val="26"/>
        </w:rPr>
        <w:t>Техноалмаз</w:t>
      </w:r>
      <w:proofErr w:type="spellEnd"/>
      <w:r w:rsidR="00D966D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8731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BF21020" w14:textId="77777777" w:rsidR="00D8731D" w:rsidRPr="00D8731D" w:rsidRDefault="00D8731D" w:rsidP="00D8731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873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8731D">
        <w:rPr>
          <w:rFonts w:ascii="Times New Roman" w:hAnsi="Times New Roman" w:cs="Times New Roman"/>
          <w:b/>
          <w:color w:val="000000"/>
          <w:sz w:val="26"/>
          <w:szCs w:val="26"/>
        </w:rPr>
        <w:t>Доли компаний-</w:t>
      </w:r>
      <w:proofErr w:type="gramStart"/>
      <w:r w:rsidRPr="00D8731D">
        <w:rPr>
          <w:rFonts w:ascii="Times New Roman" w:hAnsi="Times New Roman" w:cs="Times New Roman"/>
          <w:b/>
          <w:color w:val="000000"/>
          <w:sz w:val="26"/>
          <w:szCs w:val="26"/>
        </w:rPr>
        <w:t>производителей  на</w:t>
      </w:r>
      <w:proofErr w:type="gramEnd"/>
      <w:r w:rsidRPr="00D873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российском рынке бурового инструмента</w:t>
      </w:r>
    </w:p>
    <w:p w14:paraId="00616F19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ACDAA" wp14:editId="7540D6B6">
            <wp:extent cx="4229100" cy="27336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4EFD2E5" w14:textId="77777777" w:rsidR="00D8731D" w:rsidRPr="00D8731D" w:rsidRDefault="00D8731D" w:rsidP="00D8731D">
      <w:pPr>
        <w:rPr>
          <w:rFonts w:ascii="Times New Roman" w:hAnsi="Times New Roman" w:cs="Times New Roman"/>
          <w:b/>
          <w:caps/>
          <w:sz w:val="26"/>
          <w:szCs w:val="26"/>
        </w:rPr>
      </w:pPr>
      <w:r w:rsidRPr="00D8731D">
        <w:rPr>
          <w:rFonts w:ascii="Times New Roman" w:hAnsi="Times New Roman" w:cs="Times New Roman"/>
          <w:b/>
          <w:caps/>
          <w:sz w:val="26"/>
          <w:szCs w:val="26"/>
        </w:rPr>
        <w:t>Правящий инструмент:</w:t>
      </w:r>
    </w:p>
    <w:p w14:paraId="6F7A799A" w14:textId="77777777" w:rsidR="00D8731D" w:rsidRPr="00D8731D" w:rsidRDefault="00D8731D" w:rsidP="00D8731D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D8731D">
        <w:rPr>
          <w:rFonts w:ascii="Times New Roman" w:hAnsi="Times New Roman"/>
          <w:sz w:val="26"/>
          <w:szCs w:val="26"/>
        </w:rPr>
        <w:t>Российские производители – около 50%</w:t>
      </w:r>
    </w:p>
    <w:p w14:paraId="4897EC13" w14:textId="77777777" w:rsidR="00D8731D" w:rsidRPr="00D8731D" w:rsidRDefault="00D8731D" w:rsidP="00D8731D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D8731D">
        <w:rPr>
          <w:rFonts w:ascii="Times New Roman" w:hAnsi="Times New Roman"/>
          <w:sz w:val="26"/>
          <w:szCs w:val="26"/>
        </w:rPr>
        <w:t>Зарубежные производители – около 50%.</w:t>
      </w:r>
    </w:p>
    <w:p w14:paraId="07487ABC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 xml:space="preserve">Основными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поставщиками  правящего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инструмента  на Российский рынок  являются 3 зарубежные  фирмы: </w:t>
      </w:r>
      <w:proofErr w:type="spellStart"/>
      <w:r w:rsidRPr="00D8731D">
        <w:rPr>
          <w:rFonts w:ascii="Times New Roman" w:hAnsi="Times New Roman" w:cs="Times New Roman"/>
          <w:sz w:val="26"/>
          <w:szCs w:val="26"/>
          <w:lang w:val="en-US"/>
        </w:rPr>
        <w:t>Dr</w:t>
      </w:r>
      <w:proofErr w:type="spellEnd"/>
      <w:r w:rsidRPr="00D8731D">
        <w:rPr>
          <w:rFonts w:ascii="Times New Roman" w:hAnsi="Times New Roman" w:cs="Times New Roman"/>
          <w:sz w:val="26"/>
          <w:szCs w:val="26"/>
        </w:rPr>
        <w:t xml:space="preserve">. </w:t>
      </w:r>
      <w:r w:rsidRPr="00D8731D">
        <w:rPr>
          <w:rFonts w:ascii="Times New Roman" w:hAnsi="Times New Roman" w:cs="Times New Roman"/>
          <w:sz w:val="26"/>
          <w:szCs w:val="26"/>
          <w:lang w:val="en-US"/>
        </w:rPr>
        <w:t>Kaiser</w:t>
      </w:r>
      <w:r w:rsidRPr="00D8731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8731D">
        <w:rPr>
          <w:rFonts w:ascii="Times New Roman" w:hAnsi="Times New Roman" w:cs="Times New Roman"/>
          <w:sz w:val="26"/>
          <w:szCs w:val="26"/>
          <w:lang w:val="en-US"/>
        </w:rPr>
        <w:t>Reishauer</w:t>
      </w:r>
      <w:proofErr w:type="spellEnd"/>
      <w:r w:rsidRPr="00D8731D">
        <w:rPr>
          <w:rFonts w:ascii="Times New Roman" w:hAnsi="Times New Roman" w:cs="Times New Roman"/>
          <w:sz w:val="26"/>
          <w:szCs w:val="26"/>
        </w:rPr>
        <w:t xml:space="preserve">,   </w:t>
      </w:r>
      <w:r w:rsidRPr="00D8731D">
        <w:rPr>
          <w:rFonts w:ascii="Times New Roman" w:hAnsi="Times New Roman" w:cs="Times New Roman"/>
          <w:sz w:val="26"/>
          <w:szCs w:val="26"/>
          <w:lang w:val="en-US"/>
        </w:rPr>
        <w:t>Wend</w:t>
      </w:r>
      <w:r w:rsidRPr="00D873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992C02" w14:textId="77777777" w:rsidR="00D8731D" w:rsidRPr="00D8731D" w:rsidRDefault="00D8731D" w:rsidP="00D8731D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79E9F2" wp14:editId="0710BD10">
            <wp:extent cx="3867150" cy="27622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39F48F" w14:textId="77777777" w:rsidR="00D8731D" w:rsidRPr="00D8731D" w:rsidRDefault="00D8731D" w:rsidP="00D8731D">
      <w:pPr>
        <w:ind w:left="720" w:hanging="578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67F5C1" w14:textId="77777777" w:rsidR="00D8731D" w:rsidRPr="00D8731D" w:rsidRDefault="00D8731D" w:rsidP="00D8731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b/>
          <w:caps/>
          <w:sz w:val="28"/>
          <w:szCs w:val="28"/>
        </w:rPr>
        <w:t>Камнеобрабатывающий и строительный инструмент:</w:t>
      </w:r>
      <w:r w:rsidRPr="00D8731D">
        <w:rPr>
          <w:rFonts w:ascii="Times New Roman" w:hAnsi="Times New Roman" w:cs="Times New Roman"/>
          <w:sz w:val="28"/>
          <w:szCs w:val="28"/>
        </w:rPr>
        <w:t xml:space="preserve"> </w:t>
      </w:r>
      <w:r w:rsidRPr="00D8731D">
        <w:rPr>
          <w:rFonts w:ascii="Times New Roman" w:hAnsi="Times New Roman" w:cs="Times New Roman"/>
          <w:sz w:val="28"/>
          <w:szCs w:val="28"/>
        </w:rPr>
        <w:tab/>
      </w:r>
      <w:r w:rsidRPr="00D8731D">
        <w:rPr>
          <w:rFonts w:ascii="Times New Roman" w:hAnsi="Times New Roman" w:cs="Times New Roman"/>
          <w:sz w:val="26"/>
          <w:szCs w:val="26"/>
        </w:rPr>
        <w:t xml:space="preserve">В отрасли изготовления камнеобрабатывающего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инструмента  производителей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побольше. 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Причинами  данного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фактора являются возможность изготовления   алмазного инструмента для камнеобработки и стройиндустрии без привлечения специального оборудования. Этим и пользуются мелкие производители, себестоимость изготовления инструмента у которых существенно ниже, чем у предприятий, эксплуатирующих дорогостоящее оборудование и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применяющих  дорогие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импортные комплектующие.</w:t>
      </w:r>
    </w:p>
    <w:tbl>
      <w:tblPr>
        <w:tblW w:w="8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80" w:firstRow="0" w:lastRow="0" w:firstColumn="1" w:lastColumn="0" w:noHBand="0" w:noVBand="0"/>
      </w:tblPr>
      <w:tblGrid>
        <w:gridCol w:w="4786"/>
        <w:gridCol w:w="3544"/>
      </w:tblGrid>
      <w:tr w:rsidR="00D8731D" w:rsidRPr="00D8731D" w14:paraId="51113050" w14:textId="77777777" w:rsidTr="009D65CE">
        <w:tc>
          <w:tcPr>
            <w:tcW w:w="4786" w:type="dxa"/>
            <w:shd w:val="clear" w:color="auto" w:fill="FFFFFF"/>
          </w:tcPr>
          <w:p w14:paraId="624BDBDB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российские  конкуренты</w:t>
            </w:r>
            <w:proofErr w:type="gramEnd"/>
          </w:p>
          <w:p w14:paraId="133E4C3C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14:paraId="57FF4DF2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D8731D">
              <w:rPr>
                <w:rFonts w:ascii="Times New Roman" w:eastAsia="Times New Roman" w:hAnsi="Times New Roman"/>
              </w:rPr>
              <w:t>ООО  «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Кимберлит»</w:t>
            </w:r>
          </w:p>
          <w:p w14:paraId="785E26EF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>ЗАО</w:t>
            </w:r>
            <w:proofErr w:type="gramStart"/>
            <w:r w:rsidRPr="00D8731D">
              <w:rPr>
                <w:rFonts w:ascii="Times New Roman" w:eastAsia="Times New Roman" w:hAnsi="Times New Roman"/>
              </w:rPr>
              <w:t xml:space="preserve">   «</w:t>
            </w:r>
            <w:proofErr w:type="spellStart"/>
            <w:proofErr w:type="gramEnd"/>
            <w:r w:rsidRPr="00D8731D">
              <w:rPr>
                <w:rFonts w:ascii="Times New Roman" w:eastAsia="Times New Roman" w:hAnsi="Times New Roman"/>
              </w:rPr>
              <w:t>Кермет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»</w:t>
            </w:r>
          </w:p>
          <w:p w14:paraId="4F089FDA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>ООО</w:t>
            </w:r>
            <w:proofErr w:type="gramStart"/>
            <w:r w:rsidRPr="00D8731D">
              <w:rPr>
                <w:rFonts w:ascii="Times New Roman" w:eastAsia="Times New Roman" w:hAnsi="Times New Roman"/>
              </w:rPr>
              <w:t xml:space="preserve">   «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МКК  -Диамант»</w:t>
            </w:r>
          </w:p>
          <w:p w14:paraId="18E93FF2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>ОАО</w:t>
            </w:r>
            <w:proofErr w:type="gramStart"/>
            <w:r w:rsidRPr="00D8731D">
              <w:rPr>
                <w:rFonts w:ascii="Times New Roman" w:eastAsia="Times New Roman" w:hAnsi="Times New Roman"/>
              </w:rPr>
              <w:t xml:space="preserve">   «</w:t>
            </w:r>
            <w:proofErr w:type="spellStart"/>
            <w:proofErr w:type="gramEnd"/>
            <w:r w:rsidRPr="00D8731D">
              <w:rPr>
                <w:rFonts w:ascii="Times New Roman" w:eastAsia="Times New Roman" w:hAnsi="Times New Roman"/>
              </w:rPr>
              <w:t>Алмазинструмент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»</w:t>
            </w:r>
          </w:p>
          <w:p w14:paraId="4746E0E9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D8731D">
              <w:rPr>
                <w:rFonts w:ascii="Times New Roman" w:eastAsia="Times New Roman" w:hAnsi="Times New Roman"/>
              </w:rPr>
              <w:t>ООО  «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Адель»</w:t>
            </w:r>
          </w:p>
          <w:p w14:paraId="052F14C1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D8731D">
              <w:rPr>
                <w:rFonts w:ascii="Times New Roman" w:eastAsia="Times New Roman" w:hAnsi="Times New Roman"/>
              </w:rPr>
              <w:t>ООО  «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ДТМ»</w:t>
            </w:r>
          </w:p>
          <w:p w14:paraId="7A3BD5E0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 xml:space="preserve">ООО   </w:t>
            </w:r>
            <w:proofErr w:type="gramStart"/>
            <w:r w:rsidRPr="00D8731D">
              <w:rPr>
                <w:rFonts w:ascii="Times New Roman" w:eastAsia="Times New Roman" w:hAnsi="Times New Roman"/>
              </w:rPr>
              <w:t>НПФ  «</w:t>
            </w:r>
            <w:proofErr w:type="spellStart"/>
            <w:proofErr w:type="gramEnd"/>
            <w:r w:rsidRPr="00D8731D">
              <w:rPr>
                <w:rFonts w:ascii="Times New Roman" w:eastAsia="Times New Roman" w:hAnsi="Times New Roman"/>
              </w:rPr>
              <w:t>Ниборит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»</w:t>
            </w:r>
          </w:p>
          <w:p w14:paraId="6488E131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 xml:space="preserve">ООО   </w:t>
            </w:r>
            <w:proofErr w:type="gramStart"/>
            <w:r w:rsidRPr="00D8731D">
              <w:rPr>
                <w:rFonts w:ascii="Times New Roman" w:eastAsia="Times New Roman" w:hAnsi="Times New Roman"/>
              </w:rPr>
              <w:t>НИЦ  «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Вятич»</w:t>
            </w:r>
          </w:p>
          <w:p w14:paraId="72340783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731D">
              <w:rPr>
                <w:rFonts w:ascii="Times New Roman" w:eastAsia="Times New Roman" w:hAnsi="Times New Roman"/>
              </w:rPr>
              <w:t>ООО</w:t>
            </w:r>
            <w:proofErr w:type="gramStart"/>
            <w:r w:rsidRPr="00D8731D">
              <w:rPr>
                <w:rFonts w:ascii="Times New Roman" w:eastAsia="Times New Roman" w:hAnsi="Times New Roman"/>
              </w:rPr>
              <w:t xml:space="preserve">   «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ПК-Сервис»</w:t>
            </w:r>
          </w:p>
        </w:tc>
      </w:tr>
      <w:tr w:rsidR="00D8731D" w:rsidRPr="00D8731D" w14:paraId="0CAA2C55" w14:textId="77777777" w:rsidTr="009D65CE">
        <w:tc>
          <w:tcPr>
            <w:tcW w:w="4786" w:type="dxa"/>
            <w:shd w:val="clear" w:color="auto" w:fill="FFFFFF"/>
          </w:tcPr>
          <w:p w14:paraId="1B77537E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7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зарубежные конкуренты </w:t>
            </w:r>
          </w:p>
          <w:p w14:paraId="4BCAC7DD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/>
          </w:tcPr>
          <w:p w14:paraId="3D6240E0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 xml:space="preserve"> «Цедима» (Германия)</w:t>
            </w:r>
          </w:p>
          <w:p w14:paraId="7D5FB82C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8731D">
              <w:rPr>
                <w:rFonts w:ascii="Times New Roman" w:eastAsia="Times New Roman" w:hAnsi="Times New Roman"/>
              </w:rPr>
              <w:t>Хилти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» (Лихтенштейн)</w:t>
            </w:r>
          </w:p>
          <w:p w14:paraId="5C297847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D8731D">
              <w:rPr>
                <w:rFonts w:ascii="Times New Roman" w:eastAsia="Times New Roman" w:hAnsi="Times New Roman"/>
              </w:rPr>
              <w:t>Адамас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» (</w:t>
            </w:r>
            <w:proofErr w:type="spellStart"/>
            <w:r w:rsidRPr="00D8731D">
              <w:rPr>
                <w:rFonts w:ascii="Times New Roman" w:eastAsia="Times New Roman" w:hAnsi="Times New Roman"/>
              </w:rPr>
              <w:t>Голандия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)</w:t>
            </w:r>
          </w:p>
          <w:p w14:paraId="3DF82538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</w:rPr>
            </w:pPr>
            <w:r w:rsidRPr="00D8731D">
              <w:rPr>
                <w:rFonts w:ascii="Times New Roman" w:eastAsia="Times New Roman" w:hAnsi="Times New Roman"/>
              </w:rPr>
              <w:t>«</w:t>
            </w:r>
            <w:proofErr w:type="spellStart"/>
            <w:proofErr w:type="gramStart"/>
            <w:r w:rsidRPr="00D8731D">
              <w:rPr>
                <w:rFonts w:ascii="Times New Roman" w:eastAsia="Times New Roman" w:hAnsi="Times New Roman"/>
              </w:rPr>
              <w:t>Тиролит</w:t>
            </w:r>
            <w:proofErr w:type="spellEnd"/>
            <w:r w:rsidRPr="00D8731D">
              <w:rPr>
                <w:rFonts w:ascii="Times New Roman" w:eastAsia="Times New Roman" w:hAnsi="Times New Roman"/>
              </w:rPr>
              <w:t>»  (</w:t>
            </w:r>
            <w:proofErr w:type="gramEnd"/>
            <w:r w:rsidRPr="00D8731D">
              <w:rPr>
                <w:rFonts w:ascii="Times New Roman" w:eastAsia="Times New Roman" w:hAnsi="Times New Roman"/>
              </w:rPr>
              <w:t>Австрия)</w:t>
            </w:r>
          </w:p>
          <w:p w14:paraId="73B89E9F" w14:textId="77777777" w:rsidR="00D8731D" w:rsidRPr="00D8731D" w:rsidRDefault="00D8731D" w:rsidP="009D65C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731D">
              <w:rPr>
                <w:rFonts w:ascii="Times New Roman" w:eastAsia="Times New Roman" w:hAnsi="Times New Roman"/>
              </w:rPr>
              <w:t>«Доктор Шульц» (Германия)</w:t>
            </w:r>
          </w:p>
        </w:tc>
      </w:tr>
    </w:tbl>
    <w:p w14:paraId="77736203" w14:textId="77777777" w:rsidR="00D8731D" w:rsidRPr="00D8731D" w:rsidRDefault="00D8731D" w:rsidP="00D8731D">
      <w:pPr>
        <w:ind w:left="720" w:hanging="578"/>
        <w:rPr>
          <w:rFonts w:ascii="Times New Roman" w:hAnsi="Times New Roman" w:cs="Times New Roman"/>
          <w:b/>
          <w:caps/>
          <w:sz w:val="28"/>
          <w:szCs w:val="28"/>
        </w:rPr>
      </w:pPr>
    </w:p>
    <w:p w14:paraId="20840294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31C19E" wp14:editId="17DD83B9">
            <wp:extent cx="4657725" cy="30194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87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3BA6A" w14:textId="77777777" w:rsidR="00D8731D" w:rsidRPr="00D8731D" w:rsidRDefault="00D8731D" w:rsidP="00D8731D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F33566" w14:textId="77777777" w:rsidR="00D8731D" w:rsidRPr="00D8731D" w:rsidRDefault="00D8731D" w:rsidP="00D8731D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31D">
        <w:rPr>
          <w:rFonts w:ascii="Times New Roman" w:hAnsi="Times New Roman" w:cs="Times New Roman"/>
          <w:b/>
          <w:sz w:val="26"/>
          <w:szCs w:val="26"/>
        </w:rPr>
        <w:t>Анализ причин снижения объемов производства и реализации готовой продукции:</w:t>
      </w:r>
    </w:p>
    <w:p w14:paraId="44544912" w14:textId="385FBE02" w:rsidR="00D8731D" w:rsidRPr="00D8731D" w:rsidRDefault="00D8731D" w:rsidP="00D8731D">
      <w:pPr>
        <w:jc w:val="both"/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>Значительное снижение объемов реализации готовой продукции в 2014 году относительно соответствующего уровня прошлых лет неразрывно связано с падением производства в отраслях хозяйствования, на которые ориентирован завод: геологоразведочные предприятия, предприятия машиностроения (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автомобилестроение,  авиамоторные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заводы, подшипниковые зав</w:t>
      </w:r>
      <w:r w:rsidR="00D63CB4">
        <w:rPr>
          <w:rFonts w:ascii="Times New Roman" w:hAnsi="Times New Roman" w:cs="Times New Roman"/>
          <w:sz w:val="26"/>
          <w:szCs w:val="26"/>
        </w:rPr>
        <w:t>оды),</w:t>
      </w:r>
      <w:r w:rsidRPr="00D8731D">
        <w:rPr>
          <w:rFonts w:ascii="Times New Roman" w:hAnsi="Times New Roman" w:cs="Times New Roman"/>
          <w:sz w:val="26"/>
          <w:szCs w:val="26"/>
        </w:rPr>
        <w:t xml:space="preserve"> стройиндустрии и т.д.</w:t>
      </w:r>
    </w:p>
    <w:p w14:paraId="70840829" w14:textId="1457AC48" w:rsidR="00D8731D" w:rsidRPr="00D8731D" w:rsidRDefault="00D8731D" w:rsidP="00D8731D">
      <w:pPr>
        <w:jc w:val="both"/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>Крупные потребители алмазного инструмента АВТОВАЗ, КАМАЗ, автомобилестроители Беларуси резко снизили объемы заказов, за ними снизили объемы производства подшипниковые, инструментальные и моторные заводы, так как они одновременно являются поставщиками машиностроителей и потребителями алмазного правящего и шлифовального инструмента.  Кризисная ситуация мирового масштаба подвигла буровые компании снизить объемы инвестиций в геологоразведку, являющуюся непосредственным потребителем алмазного бурового инструмента.  В результате объем заказов на данный вид инструмента снизился в 3 раза в сравнении с прошлым годом.  Маркетинговыми службами предприятия в результате переговоров с наиболее крупными потребителями алмазного инструмента, которые предполагают увеличение своих объемов производства на 1</w:t>
      </w:r>
      <w:r w:rsidR="0039251F">
        <w:rPr>
          <w:rFonts w:ascii="Times New Roman" w:hAnsi="Times New Roman" w:cs="Times New Roman"/>
          <w:sz w:val="26"/>
          <w:szCs w:val="26"/>
        </w:rPr>
        <w:t>5-20%, сделан обобщающий анализ и опреде</w:t>
      </w:r>
      <w:r w:rsidRPr="00D8731D">
        <w:rPr>
          <w:rFonts w:ascii="Times New Roman" w:hAnsi="Times New Roman" w:cs="Times New Roman"/>
          <w:sz w:val="26"/>
          <w:szCs w:val="26"/>
        </w:rPr>
        <w:t xml:space="preserve">лен прогноз продаж по потребителям и по видам инструментов, а также ожидаемый объем заказов на предстоящие 4 года.  </w:t>
      </w:r>
    </w:p>
    <w:p w14:paraId="1439F7D2" w14:textId="77777777" w:rsidR="00D8731D" w:rsidRPr="00D8731D" w:rsidRDefault="00D8731D" w:rsidP="00D8731D">
      <w:pPr>
        <w:tabs>
          <w:tab w:val="left" w:pos="614"/>
          <w:tab w:val="left" w:pos="1953"/>
        </w:tabs>
        <w:rPr>
          <w:rFonts w:ascii="Times New Roman" w:hAnsi="Times New Roman" w:cs="Times New Roman"/>
          <w:sz w:val="28"/>
          <w:szCs w:val="28"/>
        </w:rPr>
      </w:pPr>
    </w:p>
    <w:p w14:paraId="0EE4EE90" w14:textId="77777777" w:rsidR="00D8731D" w:rsidRPr="00D8731D" w:rsidRDefault="00D8731D" w:rsidP="00D8731D">
      <w:pPr>
        <w:tabs>
          <w:tab w:val="left" w:pos="614"/>
          <w:tab w:val="left" w:pos="1953"/>
        </w:tabs>
        <w:rPr>
          <w:rFonts w:ascii="Times New Roman" w:hAnsi="Times New Roman" w:cs="Times New Roman"/>
          <w:sz w:val="28"/>
          <w:szCs w:val="28"/>
        </w:rPr>
      </w:pPr>
    </w:p>
    <w:p w14:paraId="7FA0B16C" w14:textId="77777777" w:rsidR="00D8731D" w:rsidRPr="00D8731D" w:rsidRDefault="00D8731D" w:rsidP="00D8731D">
      <w:pPr>
        <w:tabs>
          <w:tab w:val="left" w:pos="614"/>
          <w:tab w:val="left" w:pos="1953"/>
        </w:tabs>
        <w:rPr>
          <w:rFonts w:ascii="Times New Roman" w:hAnsi="Times New Roman" w:cs="Times New Roman"/>
          <w:sz w:val="28"/>
          <w:szCs w:val="28"/>
        </w:rPr>
      </w:pPr>
    </w:p>
    <w:p w14:paraId="52C37565" w14:textId="77777777" w:rsidR="00D8731D" w:rsidRPr="00D8731D" w:rsidRDefault="00D8731D" w:rsidP="00D8731D">
      <w:pPr>
        <w:tabs>
          <w:tab w:val="left" w:pos="614"/>
          <w:tab w:val="left" w:pos="1953"/>
        </w:tabs>
        <w:rPr>
          <w:rFonts w:ascii="Times New Roman" w:hAnsi="Times New Roman" w:cs="Times New Roman"/>
          <w:sz w:val="28"/>
          <w:szCs w:val="28"/>
        </w:rPr>
      </w:pPr>
    </w:p>
    <w:p w14:paraId="2F7B7298" w14:textId="0958B2A9" w:rsidR="00D8731D" w:rsidRPr="000B1A81" w:rsidRDefault="00D8731D" w:rsidP="000B1A81">
      <w:pPr>
        <w:pStyle w:val="a4"/>
        <w:numPr>
          <w:ilvl w:val="0"/>
          <w:numId w:val="4"/>
        </w:numPr>
        <w:tabs>
          <w:tab w:val="left" w:pos="614"/>
          <w:tab w:val="left" w:pos="1953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B1A81">
        <w:rPr>
          <w:rFonts w:ascii="Times New Roman" w:hAnsi="Times New Roman" w:cs="Times New Roman"/>
          <w:b/>
          <w:sz w:val="36"/>
          <w:szCs w:val="36"/>
          <w:u w:val="single"/>
        </w:rPr>
        <w:t>Приоритетные  направления</w:t>
      </w:r>
      <w:proofErr w:type="gramEnd"/>
      <w:r w:rsidRPr="000B1A81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деятельности  в отрасли</w:t>
      </w:r>
    </w:p>
    <w:p w14:paraId="2DE7EEF6" w14:textId="494BEF25" w:rsidR="00D8731D" w:rsidRPr="00D8731D" w:rsidRDefault="00D8731D" w:rsidP="00D8731D">
      <w:pPr>
        <w:tabs>
          <w:tab w:val="left" w:pos="614"/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lastRenderedPageBreak/>
        <w:t xml:space="preserve"> В целях реализации приоритетных направлений в отрасли предприятием разработана инвестиционная программа, ориентированная </w:t>
      </w:r>
      <w:proofErr w:type="gramStart"/>
      <w:r w:rsidRPr="00D8731D">
        <w:rPr>
          <w:rFonts w:ascii="Times New Roman" w:hAnsi="Times New Roman" w:cs="Times New Roman"/>
          <w:sz w:val="28"/>
          <w:szCs w:val="28"/>
        </w:rPr>
        <w:t>на  доведение</w:t>
      </w:r>
      <w:proofErr w:type="gramEnd"/>
      <w:r w:rsidRPr="00D8731D">
        <w:rPr>
          <w:rFonts w:ascii="Times New Roman" w:hAnsi="Times New Roman" w:cs="Times New Roman"/>
          <w:sz w:val="28"/>
          <w:szCs w:val="28"/>
        </w:rPr>
        <w:t xml:space="preserve"> годового объема производства свыше 1 млрд. рубле</w:t>
      </w:r>
      <w:r w:rsidR="0039251F">
        <w:rPr>
          <w:rFonts w:ascii="Times New Roman" w:hAnsi="Times New Roman" w:cs="Times New Roman"/>
          <w:sz w:val="28"/>
          <w:szCs w:val="28"/>
        </w:rPr>
        <w:t>й, на получение прибыли и создание</w:t>
      </w:r>
      <w:r w:rsidRPr="00D8731D">
        <w:rPr>
          <w:rFonts w:ascii="Times New Roman" w:hAnsi="Times New Roman" w:cs="Times New Roman"/>
          <w:sz w:val="28"/>
          <w:szCs w:val="28"/>
        </w:rPr>
        <w:t xml:space="preserve"> новых  рабочих мест.  Срок </w:t>
      </w:r>
      <w:proofErr w:type="gramStart"/>
      <w:r w:rsidRPr="00D8731D">
        <w:rPr>
          <w:rFonts w:ascii="Times New Roman" w:hAnsi="Times New Roman" w:cs="Times New Roman"/>
          <w:sz w:val="28"/>
          <w:szCs w:val="28"/>
        </w:rPr>
        <w:t>исполнения  данных</w:t>
      </w:r>
      <w:proofErr w:type="gramEnd"/>
      <w:r w:rsidRPr="00D8731D">
        <w:rPr>
          <w:rFonts w:ascii="Times New Roman" w:hAnsi="Times New Roman" w:cs="Times New Roman"/>
          <w:sz w:val="28"/>
          <w:szCs w:val="28"/>
        </w:rPr>
        <w:t xml:space="preserve"> мероприятий – в течении 5 лет. 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27"/>
        <w:gridCol w:w="5835"/>
      </w:tblGrid>
      <w:tr w:rsidR="00D8731D" w:rsidRPr="00D8731D" w14:paraId="00ECAEDC" w14:textId="77777777" w:rsidTr="00D8731D">
        <w:trPr>
          <w:trHeight w:val="211"/>
        </w:trPr>
        <w:tc>
          <w:tcPr>
            <w:tcW w:w="3227" w:type="dxa"/>
            <w:shd w:val="clear" w:color="auto" w:fill="auto"/>
          </w:tcPr>
          <w:p w14:paraId="35C7209F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 проекта</w:t>
            </w:r>
          </w:p>
        </w:tc>
        <w:tc>
          <w:tcPr>
            <w:tcW w:w="5835" w:type="dxa"/>
            <w:shd w:val="clear" w:color="auto" w:fill="auto"/>
          </w:tcPr>
          <w:p w14:paraId="333B31A7" w14:textId="77777777" w:rsidR="00D8731D" w:rsidRPr="00D8731D" w:rsidRDefault="00D8731D" w:rsidP="009D65CE">
            <w:pPr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Суть проекта (основные характеристики)</w:t>
            </w:r>
          </w:p>
        </w:tc>
      </w:tr>
      <w:tr w:rsidR="00D8731D" w:rsidRPr="00D8731D" w14:paraId="17DDDE4B" w14:textId="77777777" w:rsidTr="00D8731D">
        <w:trPr>
          <w:trHeight w:val="2240"/>
        </w:trPr>
        <w:tc>
          <w:tcPr>
            <w:tcW w:w="3227" w:type="dxa"/>
            <w:shd w:val="clear" w:color="auto" w:fill="auto"/>
          </w:tcPr>
          <w:p w14:paraId="12FCE393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Техническое перевооружение производства бурового инструмента, обновление техники и технологии</w:t>
            </w:r>
          </w:p>
        </w:tc>
        <w:tc>
          <w:tcPr>
            <w:tcW w:w="5835" w:type="dxa"/>
            <w:shd w:val="clear" w:color="auto" w:fill="auto"/>
          </w:tcPr>
          <w:p w14:paraId="0AB333FB" w14:textId="77777777" w:rsidR="00D8731D" w:rsidRPr="00D8731D" w:rsidRDefault="00D8731D" w:rsidP="009D65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hAnsi="Times New Roman" w:cs="Times New Roman"/>
                <w:sz w:val="23"/>
                <w:szCs w:val="23"/>
              </w:rPr>
              <w:t xml:space="preserve">Данный проект направлен на выпуск высокотехнологичного бурового алмазного инструмента, соответствующего мировым образцам по качественным </w:t>
            </w:r>
            <w:proofErr w:type="gramStart"/>
            <w:r w:rsidRPr="00D8731D">
              <w:rPr>
                <w:rFonts w:ascii="Times New Roman" w:hAnsi="Times New Roman" w:cs="Times New Roman"/>
                <w:sz w:val="23"/>
                <w:szCs w:val="23"/>
              </w:rPr>
              <w:t>характеристикам  и</w:t>
            </w:r>
            <w:proofErr w:type="gramEnd"/>
            <w:r w:rsidRPr="00D8731D">
              <w:rPr>
                <w:rFonts w:ascii="Times New Roman" w:hAnsi="Times New Roman" w:cs="Times New Roman"/>
                <w:sz w:val="23"/>
                <w:szCs w:val="23"/>
              </w:rPr>
              <w:t xml:space="preserve"> выигрышным по цене; освоение новых видов алмазного инструмента для геолого-разведочных и горнорудных предприятий.  Внедрение проекта позволит увеличить объем продаж за счет расширения доли бурового алмазного инструмента ОАО «</w:t>
            </w:r>
            <w:proofErr w:type="spellStart"/>
            <w:r w:rsidRPr="00D8731D">
              <w:rPr>
                <w:rFonts w:ascii="Times New Roman" w:hAnsi="Times New Roman" w:cs="Times New Roman"/>
                <w:sz w:val="23"/>
                <w:szCs w:val="23"/>
              </w:rPr>
              <w:t>Терекалмаз</w:t>
            </w:r>
            <w:proofErr w:type="spellEnd"/>
            <w:r w:rsidRPr="00D8731D">
              <w:rPr>
                <w:rFonts w:ascii="Times New Roman" w:hAnsi="Times New Roman" w:cs="Times New Roman"/>
                <w:sz w:val="23"/>
                <w:szCs w:val="23"/>
              </w:rPr>
              <w:t>» на рынке продаж.</w:t>
            </w:r>
          </w:p>
        </w:tc>
      </w:tr>
      <w:tr w:rsidR="00D8731D" w:rsidRPr="00D8731D" w14:paraId="2E2B33CF" w14:textId="77777777" w:rsidTr="00D8731D">
        <w:trPr>
          <w:trHeight w:val="2203"/>
        </w:trPr>
        <w:tc>
          <w:tcPr>
            <w:tcW w:w="3227" w:type="dxa"/>
            <w:shd w:val="clear" w:color="auto" w:fill="auto"/>
          </w:tcPr>
          <w:p w14:paraId="35A5A49F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Разработка и освоение новых видов алмазного правящего инструмента для машиностроительного комплекса. </w:t>
            </w:r>
          </w:p>
        </w:tc>
        <w:tc>
          <w:tcPr>
            <w:tcW w:w="5835" w:type="dxa"/>
            <w:shd w:val="clear" w:color="auto" w:fill="auto"/>
          </w:tcPr>
          <w:p w14:paraId="2EA940E4" w14:textId="77777777" w:rsidR="00D8731D" w:rsidRPr="00D8731D" w:rsidRDefault="00D8731D" w:rsidP="009D65CE">
            <w:pPr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Проект направлен на расширение производства алмазного инструмента для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автомобилестроения:  фасонных</w:t>
            </w:r>
            <w:proofErr w:type="gram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роликов, </w:t>
            </w:r>
            <w:proofErr w:type="spell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выглаживателей</w:t>
            </w:r>
            <w:proofErr w:type="spell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, резцов, карандашей, </w:t>
            </w:r>
            <w:proofErr w:type="spell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специнструмента</w:t>
            </w:r>
            <w:proofErr w:type="spell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, Разработка новых современных автомобилей в автопроме требует высокоточного инструмента, выпуск которого позволит не только сохранить позиции на рынке продаж, но увеличить их за счет освоения новых видов алмазного правящего инструмента. </w:t>
            </w:r>
          </w:p>
        </w:tc>
      </w:tr>
      <w:tr w:rsidR="00D8731D" w:rsidRPr="00D8731D" w14:paraId="4189AD51" w14:textId="77777777" w:rsidTr="00D8731D">
        <w:trPr>
          <w:trHeight w:val="1472"/>
        </w:trPr>
        <w:tc>
          <w:tcPr>
            <w:tcW w:w="3227" w:type="dxa"/>
            <w:shd w:val="clear" w:color="auto" w:fill="auto"/>
          </w:tcPr>
          <w:p w14:paraId="4A6F62E4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Разработка и освоение новых видов алмазного камнеобрабатывающего и строительного инструмента. </w:t>
            </w:r>
          </w:p>
        </w:tc>
        <w:tc>
          <w:tcPr>
            <w:tcW w:w="5835" w:type="dxa"/>
            <w:shd w:val="clear" w:color="auto" w:fill="auto"/>
          </w:tcPr>
          <w:p w14:paraId="2E31A4BD" w14:textId="77777777" w:rsidR="00D8731D" w:rsidRPr="00D8731D" w:rsidRDefault="00D8731D" w:rsidP="009D65CE">
            <w:pPr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Развивающийся рынок стройиндустрии дает возможность расширения ассортимента выпускаемого алмазного камнеобрабатывающего инструмента. Инвестиции в данном направлении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>имеют  короткие</w:t>
            </w:r>
            <w:proofErr w:type="gramEnd"/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сроки окупаемости (2-3 года)  и высокую рентабельность (порядка 20-25%). </w:t>
            </w:r>
          </w:p>
        </w:tc>
      </w:tr>
      <w:tr w:rsidR="00D8731D" w:rsidRPr="00D8731D" w14:paraId="1971CA32" w14:textId="77777777" w:rsidTr="00D8731D">
        <w:trPr>
          <w:trHeight w:val="1938"/>
        </w:trPr>
        <w:tc>
          <w:tcPr>
            <w:tcW w:w="3227" w:type="dxa"/>
            <w:shd w:val="clear" w:color="auto" w:fill="auto"/>
          </w:tcPr>
          <w:p w14:paraId="59CAE147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Модернизация производства синтеза алмазов (поликристаллических) широкой номенклатуры.</w:t>
            </w:r>
          </w:p>
        </w:tc>
        <w:tc>
          <w:tcPr>
            <w:tcW w:w="5835" w:type="dxa"/>
            <w:shd w:val="clear" w:color="auto" w:fill="auto"/>
          </w:tcPr>
          <w:p w14:paraId="57314D5D" w14:textId="77777777" w:rsidR="00D8731D" w:rsidRPr="00D8731D" w:rsidRDefault="00D8731D" w:rsidP="009D65CE">
            <w:pPr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Внедрение современных методов синтеза алмазного сырья позволит конкурировать с китайскими производителями. Переход на высокопрочную синтетику в изготовлении алмазных инструментов позволит значительно снизить себестоимость продукции, а в некоторых случаях и увеличит </w:t>
            </w:r>
            <w:proofErr w:type="spell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стойкостные</w:t>
            </w:r>
            <w:proofErr w:type="spell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характеристики  используемого</w:t>
            </w:r>
            <w:proofErr w:type="gram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алмазного сырья. </w:t>
            </w:r>
          </w:p>
        </w:tc>
      </w:tr>
      <w:tr w:rsidR="00D8731D" w:rsidRPr="00D8731D" w14:paraId="6C6EAD34" w14:textId="77777777" w:rsidTr="00D8731D">
        <w:trPr>
          <w:trHeight w:val="1334"/>
        </w:trPr>
        <w:tc>
          <w:tcPr>
            <w:tcW w:w="3227" w:type="dxa"/>
            <w:shd w:val="clear" w:color="auto" w:fill="auto"/>
          </w:tcPr>
          <w:p w14:paraId="3D6698BC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производства алмазной проволоки для полупроводниковой индустрии.</w:t>
            </w:r>
          </w:p>
        </w:tc>
        <w:tc>
          <w:tcPr>
            <w:tcW w:w="5835" w:type="dxa"/>
            <w:shd w:val="clear" w:color="auto" w:fill="auto"/>
          </w:tcPr>
          <w:p w14:paraId="23FE4375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При производстве синтетического сапфира для оптоэлектронной промышленности используется алмазная проволока, производство которой планируется наладить на заводе. Это высокотехнологичное производство, аналогов которой в России не существует. </w:t>
            </w:r>
          </w:p>
        </w:tc>
      </w:tr>
      <w:tr w:rsidR="00D8731D" w:rsidRPr="00D8731D" w14:paraId="4260D98C" w14:textId="77777777" w:rsidTr="00D8731D">
        <w:trPr>
          <w:trHeight w:val="211"/>
        </w:trPr>
        <w:tc>
          <w:tcPr>
            <w:tcW w:w="3227" w:type="dxa"/>
            <w:shd w:val="clear" w:color="auto" w:fill="auto"/>
          </w:tcPr>
          <w:p w14:paraId="6CF78B97" w14:textId="77777777" w:rsidR="00D8731D" w:rsidRPr="00D8731D" w:rsidRDefault="00D8731D" w:rsidP="009D65CE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производства шлифовального инструмента на керамической и металлических связках</w:t>
            </w:r>
          </w:p>
        </w:tc>
        <w:tc>
          <w:tcPr>
            <w:tcW w:w="5835" w:type="dxa"/>
            <w:shd w:val="clear" w:color="auto" w:fill="auto"/>
          </w:tcPr>
          <w:p w14:paraId="6FB308AD" w14:textId="77777777" w:rsidR="00D8731D" w:rsidRPr="00D8731D" w:rsidRDefault="00D8731D" w:rsidP="009D65CE">
            <w:pPr>
              <w:ind w:firstLine="176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Данные виды инструмента широко используются в металлообработке. Для завода это не новый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инструмент,  производство</w:t>
            </w:r>
            <w:proofErr w:type="gram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которого было приостановлено из-за устаревшей технологии изготовления. Инженерно-</w:t>
            </w:r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 xml:space="preserve">технологические службы завода в результате совместной </w:t>
            </w:r>
            <w:proofErr w:type="gram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работы  с</w:t>
            </w:r>
            <w:proofErr w:type="gram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ведущими Московскими  Вузами «</w:t>
            </w:r>
            <w:proofErr w:type="spell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Станкин</w:t>
            </w:r>
            <w:proofErr w:type="spell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 и «</w:t>
            </w:r>
            <w:proofErr w:type="spell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МИСиС</w:t>
            </w:r>
            <w:proofErr w:type="spell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»  получили </w:t>
            </w:r>
            <w:proofErr w:type="spellStart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нанотехнологичные</w:t>
            </w:r>
            <w:proofErr w:type="spellEnd"/>
            <w:r w:rsidRPr="00D8731D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связки, которые значительно усовершенствовали сам инструмент, укрепили алмазную кромку и в целом улучшили потребительские свойства (увеличили срок эксплуатации и  снизили стоимость)</w:t>
            </w:r>
          </w:p>
        </w:tc>
      </w:tr>
    </w:tbl>
    <w:p w14:paraId="18869DB6" w14:textId="77777777" w:rsidR="00D8731D" w:rsidRPr="00D8731D" w:rsidRDefault="00D8731D" w:rsidP="00D873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F5D1E63" w14:textId="77777777" w:rsidR="00D8731D" w:rsidRPr="00D8731D" w:rsidRDefault="00D8731D" w:rsidP="00D8731D">
      <w:pPr>
        <w:rPr>
          <w:rFonts w:ascii="Times New Roman" w:hAnsi="Times New Roman" w:cs="Times New Roman"/>
          <w:b/>
          <w:sz w:val="28"/>
          <w:szCs w:val="28"/>
        </w:rPr>
      </w:pPr>
      <w:r w:rsidRPr="00D8731D">
        <w:rPr>
          <w:rFonts w:ascii="Times New Roman" w:hAnsi="Times New Roman" w:cs="Times New Roman"/>
          <w:b/>
          <w:sz w:val="28"/>
          <w:szCs w:val="28"/>
        </w:rPr>
        <w:t>Обзор основных результатов работы по приоритетным направлениям деятельности Общества</w:t>
      </w:r>
    </w:p>
    <w:p w14:paraId="3263C2E9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>Управление качеством</w:t>
      </w:r>
    </w:p>
    <w:p w14:paraId="383943BB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 xml:space="preserve">Основной целью деятельности Управления качества является организация работ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по  контролю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и анализу степени соответствия системы менеджмента качества (СМК) и уровня  качества производимой продукции. </w:t>
      </w:r>
    </w:p>
    <w:p w14:paraId="07E823AB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>Направления работы службы менеджмента качества ОАО «</w:t>
      </w:r>
      <w:proofErr w:type="spellStart"/>
      <w:r w:rsidRPr="00D8731D">
        <w:rPr>
          <w:rFonts w:ascii="Times New Roman" w:hAnsi="Times New Roman" w:cs="Times New Roman"/>
          <w:sz w:val="26"/>
          <w:szCs w:val="26"/>
        </w:rPr>
        <w:t>Терекалмаз</w:t>
      </w:r>
      <w:proofErr w:type="spellEnd"/>
      <w:r w:rsidRPr="00D8731D">
        <w:rPr>
          <w:rFonts w:ascii="Times New Roman" w:hAnsi="Times New Roman" w:cs="Times New Roman"/>
          <w:sz w:val="26"/>
          <w:szCs w:val="26"/>
        </w:rPr>
        <w:t>» в 2014 году:</w:t>
      </w:r>
    </w:p>
    <w:p w14:paraId="6FAD1C94" w14:textId="77777777" w:rsidR="00D8731D" w:rsidRPr="00D8731D" w:rsidRDefault="00D8731D" w:rsidP="00D8731D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8731D">
        <w:rPr>
          <w:rFonts w:ascii="Times New Roman" w:hAnsi="Times New Roman"/>
          <w:sz w:val="26"/>
          <w:szCs w:val="26"/>
        </w:rPr>
        <w:t>совершенствование</w:t>
      </w:r>
      <w:proofErr w:type="gramEnd"/>
      <w:r w:rsidRPr="00D8731D">
        <w:rPr>
          <w:rFonts w:ascii="Times New Roman" w:hAnsi="Times New Roman"/>
          <w:sz w:val="26"/>
          <w:szCs w:val="26"/>
        </w:rPr>
        <w:t xml:space="preserve"> СМК, в том числе организация и проведение аудита СМК;</w:t>
      </w:r>
    </w:p>
    <w:p w14:paraId="5F2E4237" w14:textId="77777777" w:rsidR="00D8731D" w:rsidRPr="00D8731D" w:rsidRDefault="00D8731D" w:rsidP="00D8731D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8731D">
        <w:rPr>
          <w:rFonts w:ascii="Times New Roman" w:hAnsi="Times New Roman"/>
          <w:sz w:val="26"/>
          <w:szCs w:val="26"/>
        </w:rPr>
        <w:t>разработка,  внедрение</w:t>
      </w:r>
      <w:proofErr w:type="gramEnd"/>
      <w:r w:rsidRPr="00D8731D">
        <w:rPr>
          <w:rFonts w:ascii="Times New Roman" w:hAnsi="Times New Roman"/>
          <w:sz w:val="26"/>
          <w:szCs w:val="26"/>
        </w:rPr>
        <w:t xml:space="preserve">  и  проверка  соблюдения  документов  в  области стандартизации;</w:t>
      </w:r>
    </w:p>
    <w:p w14:paraId="0CAF19EA" w14:textId="77777777" w:rsidR="00D8731D" w:rsidRPr="00D8731D" w:rsidRDefault="00D8731D" w:rsidP="00D8731D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8731D">
        <w:rPr>
          <w:rFonts w:ascii="Times New Roman" w:hAnsi="Times New Roman"/>
          <w:sz w:val="26"/>
          <w:szCs w:val="26"/>
        </w:rPr>
        <w:t>оценка  соответствия</w:t>
      </w:r>
      <w:proofErr w:type="gramEnd"/>
      <w:r w:rsidRPr="00D8731D">
        <w:rPr>
          <w:rFonts w:ascii="Times New Roman" w:hAnsi="Times New Roman"/>
          <w:sz w:val="26"/>
          <w:szCs w:val="26"/>
        </w:rPr>
        <w:t xml:space="preserve">  разрабатываемой  и  корректируемой  технической документации и нормативной документации Общества;</w:t>
      </w:r>
    </w:p>
    <w:p w14:paraId="3481E8FF" w14:textId="77777777" w:rsidR="00D8731D" w:rsidRPr="00D8731D" w:rsidRDefault="00D8731D" w:rsidP="00D8731D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8731D">
        <w:rPr>
          <w:rFonts w:ascii="Times New Roman" w:hAnsi="Times New Roman"/>
          <w:sz w:val="26"/>
          <w:szCs w:val="26"/>
        </w:rPr>
        <w:t>формирование  фонда</w:t>
      </w:r>
      <w:proofErr w:type="gramEnd"/>
      <w:r w:rsidRPr="00D8731D">
        <w:rPr>
          <w:rFonts w:ascii="Times New Roman" w:hAnsi="Times New Roman"/>
          <w:sz w:val="26"/>
          <w:szCs w:val="26"/>
        </w:rPr>
        <w:t xml:space="preserve">  нормативной  документации  и  проведение  работ  по обеспечению его актуальности;</w:t>
      </w:r>
    </w:p>
    <w:p w14:paraId="76D440F2" w14:textId="77777777" w:rsidR="00D8731D" w:rsidRPr="00D8731D" w:rsidRDefault="00D8731D" w:rsidP="00D8731D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8731D">
        <w:rPr>
          <w:rFonts w:ascii="Times New Roman" w:hAnsi="Times New Roman"/>
          <w:sz w:val="26"/>
          <w:szCs w:val="26"/>
        </w:rPr>
        <w:t>контроль  качества</w:t>
      </w:r>
      <w:proofErr w:type="gramEnd"/>
      <w:r w:rsidRPr="00D8731D">
        <w:rPr>
          <w:rFonts w:ascii="Times New Roman" w:hAnsi="Times New Roman"/>
          <w:sz w:val="26"/>
          <w:szCs w:val="26"/>
        </w:rPr>
        <w:t xml:space="preserve">,  оценка  соответствия  и  приемка  выпускаемой  продукции, </w:t>
      </w:r>
    </w:p>
    <w:p w14:paraId="47CC7A9A" w14:textId="77777777" w:rsidR="00D8731D" w:rsidRPr="00D8731D" w:rsidRDefault="00D8731D" w:rsidP="00D8731D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D8731D">
        <w:rPr>
          <w:rFonts w:ascii="Times New Roman" w:hAnsi="Times New Roman"/>
          <w:sz w:val="26"/>
          <w:szCs w:val="26"/>
        </w:rPr>
        <w:t>участие</w:t>
      </w:r>
      <w:proofErr w:type="gramEnd"/>
      <w:r w:rsidRPr="00D8731D">
        <w:rPr>
          <w:rFonts w:ascii="Times New Roman" w:hAnsi="Times New Roman"/>
          <w:sz w:val="26"/>
          <w:szCs w:val="26"/>
        </w:rPr>
        <w:t xml:space="preserve"> в рекламационной работе в Обществе;</w:t>
      </w:r>
    </w:p>
    <w:p w14:paraId="0A883500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ИСО 9001 и СТП 8.2.03-2006 СМК были проведены плановые внутренние аудиты согласно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годовой  Программе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 внутренних  аудитов,  утвержденной  Генеральным директором  и согласованной  с Уполномоченным по Системе Качества.  Программа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была  выполнена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 в полном объеме.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Значительных  несоответствий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не выявлено. По всем выявленным малозначительным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несоответствиям  были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 разработаны  коррекции, корректирующие  и  при  необходимости предупреждающие действия.</w:t>
      </w:r>
    </w:p>
    <w:p w14:paraId="2665E651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8731D">
        <w:rPr>
          <w:rFonts w:ascii="Times New Roman" w:hAnsi="Times New Roman" w:cs="Times New Roman"/>
          <w:sz w:val="26"/>
          <w:szCs w:val="26"/>
        </w:rPr>
        <w:t>По  результатам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проведенного  в  июле 2014г. 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инспекционного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контроля  СМК сертификационным органом «</w:t>
      </w:r>
      <w:r w:rsidRPr="00D8731D">
        <w:rPr>
          <w:rFonts w:ascii="Times New Roman" w:hAnsi="Times New Roman" w:cs="Times New Roman"/>
          <w:sz w:val="26"/>
          <w:szCs w:val="26"/>
          <w:lang w:val="en-US"/>
        </w:rPr>
        <w:t>TUF</w:t>
      </w:r>
      <w:r w:rsidRPr="00D8731D">
        <w:rPr>
          <w:rFonts w:ascii="Times New Roman" w:hAnsi="Times New Roman" w:cs="Times New Roman"/>
          <w:sz w:val="26"/>
          <w:szCs w:val="26"/>
        </w:rPr>
        <w:t xml:space="preserve"> </w:t>
      </w:r>
      <w:r w:rsidRPr="00D8731D">
        <w:rPr>
          <w:rFonts w:ascii="Times New Roman" w:hAnsi="Times New Roman" w:cs="Times New Roman"/>
          <w:sz w:val="26"/>
          <w:szCs w:val="26"/>
          <w:lang w:val="en-US"/>
        </w:rPr>
        <w:t>Cert</w:t>
      </w:r>
      <w:r w:rsidRPr="00D8731D">
        <w:rPr>
          <w:rFonts w:ascii="Times New Roman" w:hAnsi="Times New Roman" w:cs="Times New Roman"/>
          <w:sz w:val="26"/>
          <w:szCs w:val="26"/>
        </w:rPr>
        <w:t xml:space="preserve">» принято решение о продлении срока действия сертификата соответствия  ИСО  № </w:t>
      </w:r>
      <w:r w:rsidRPr="00D8731D">
        <w:rPr>
          <w:rFonts w:ascii="Times New Roman" w:hAnsi="Times New Roman" w:cs="Times New Roman"/>
          <w:sz w:val="26"/>
          <w:szCs w:val="26"/>
          <w:lang w:val="en-US"/>
        </w:rPr>
        <w:t>TIC</w:t>
      </w:r>
      <w:r w:rsidRPr="00D8731D">
        <w:rPr>
          <w:rFonts w:ascii="Times New Roman" w:hAnsi="Times New Roman" w:cs="Times New Roman"/>
          <w:sz w:val="26"/>
          <w:szCs w:val="26"/>
        </w:rPr>
        <w:t xml:space="preserve"> 15 100 138548</w:t>
      </w:r>
    </w:p>
    <w:p w14:paraId="2E417670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8731D">
        <w:rPr>
          <w:rFonts w:ascii="Times New Roman" w:hAnsi="Times New Roman" w:cs="Times New Roman"/>
          <w:sz w:val="26"/>
          <w:szCs w:val="26"/>
        </w:rPr>
        <w:t>В  2014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году Обществом  от потребителей получены  _</w:t>
      </w:r>
      <w:r w:rsidRPr="00D8731D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D8731D">
        <w:rPr>
          <w:rFonts w:ascii="Times New Roman" w:hAnsi="Times New Roman" w:cs="Times New Roman"/>
          <w:sz w:val="26"/>
          <w:szCs w:val="26"/>
        </w:rPr>
        <w:t>_  рекламационных  акта,  из  них  _</w:t>
      </w:r>
      <w:r w:rsidRPr="00D8731D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D8731D">
        <w:rPr>
          <w:rFonts w:ascii="Times New Roman" w:hAnsi="Times New Roman" w:cs="Times New Roman"/>
          <w:sz w:val="26"/>
          <w:szCs w:val="26"/>
        </w:rPr>
        <w:t xml:space="preserve">_  по  результатам рассмотрения не  подтвердился.  Претензии к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качеству  со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 стороны потребителей  были  своевременно удовлетворены,  штрафные  санкции  в  адрес Общества по качеству не выставлялись, материальных потерь Общество не понесло.</w:t>
      </w:r>
    </w:p>
    <w:p w14:paraId="20696554" w14:textId="77777777" w:rsidR="00D8731D" w:rsidRPr="00D8731D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t xml:space="preserve">Основными планируемыми мероприятиями по совершенствованию деятельности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в  области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качества являются:</w:t>
      </w:r>
    </w:p>
    <w:p w14:paraId="06611BAA" w14:textId="77B99A13" w:rsidR="00D8731D" w:rsidRPr="00D8731D" w:rsidRDefault="00CF3861" w:rsidP="00D873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8731D" w:rsidRPr="00D8731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8731D" w:rsidRPr="00D8731D">
        <w:rPr>
          <w:rFonts w:ascii="Times New Roman" w:hAnsi="Times New Roman" w:cs="Times New Roman"/>
          <w:sz w:val="26"/>
          <w:szCs w:val="26"/>
        </w:rPr>
        <w:t>анализ  и</w:t>
      </w:r>
      <w:proofErr w:type="gramEnd"/>
      <w:r w:rsidR="00D8731D" w:rsidRPr="00D8731D">
        <w:rPr>
          <w:rFonts w:ascii="Times New Roman" w:hAnsi="Times New Roman" w:cs="Times New Roman"/>
          <w:sz w:val="26"/>
          <w:szCs w:val="26"/>
        </w:rPr>
        <w:t xml:space="preserve">  пересмотр  внутренних  документов  СМК  в  соответствии  с  требованиями МС ИСО 9001;</w:t>
      </w:r>
    </w:p>
    <w:p w14:paraId="566EFB8F" w14:textId="07287A51" w:rsidR="00A36F86" w:rsidRDefault="00D8731D" w:rsidP="00D8731D">
      <w:pPr>
        <w:rPr>
          <w:rFonts w:ascii="Times New Roman" w:hAnsi="Times New Roman" w:cs="Times New Roman"/>
          <w:sz w:val="26"/>
          <w:szCs w:val="26"/>
        </w:rPr>
      </w:pPr>
      <w:r w:rsidRPr="00D8731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D8731D">
        <w:rPr>
          <w:rFonts w:ascii="Times New Roman" w:hAnsi="Times New Roman" w:cs="Times New Roman"/>
          <w:sz w:val="26"/>
          <w:szCs w:val="26"/>
        </w:rPr>
        <w:t>проведение  внутренних</w:t>
      </w:r>
      <w:proofErr w:type="gramEnd"/>
      <w:r w:rsidRPr="00D8731D">
        <w:rPr>
          <w:rFonts w:ascii="Times New Roman" w:hAnsi="Times New Roman" w:cs="Times New Roman"/>
          <w:sz w:val="26"/>
          <w:szCs w:val="26"/>
        </w:rPr>
        <w:t xml:space="preserve"> аудитов СМК  по пл</w:t>
      </w:r>
      <w:r>
        <w:rPr>
          <w:rFonts w:ascii="Times New Roman" w:hAnsi="Times New Roman" w:cs="Times New Roman"/>
          <w:sz w:val="26"/>
          <w:szCs w:val="26"/>
        </w:rPr>
        <w:t>ану</w:t>
      </w:r>
      <w:r w:rsidR="00023012">
        <w:rPr>
          <w:rFonts w:ascii="Times New Roman" w:hAnsi="Times New Roman" w:cs="Times New Roman"/>
          <w:sz w:val="26"/>
          <w:szCs w:val="26"/>
        </w:rPr>
        <w:t>.</w:t>
      </w:r>
    </w:p>
    <w:p w14:paraId="387BF9BC" w14:textId="77777777" w:rsidR="00023012" w:rsidRDefault="00023012" w:rsidP="00D8731D">
      <w:pPr>
        <w:rPr>
          <w:rFonts w:ascii="Times New Roman" w:hAnsi="Times New Roman" w:cs="Times New Roman"/>
          <w:sz w:val="26"/>
          <w:szCs w:val="26"/>
        </w:rPr>
      </w:pPr>
    </w:p>
    <w:p w14:paraId="36E920CF" w14:textId="77777777" w:rsidR="00023012" w:rsidRDefault="00023012" w:rsidP="00D8731D">
      <w:pPr>
        <w:rPr>
          <w:rFonts w:ascii="Times New Roman" w:hAnsi="Times New Roman" w:cs="Times New Roman"/>
          <w:sz w:val="26"/>
          <w:szCs w:val="26"/>
        </w:rPr>
      </w:pPr>
    </w:p>
    <w:p w14:paraId="2B4C4A1E" w14:textId="77777777" w:rsidR="00D966D8" w:rsidRDefault="00D966D8" w:rsidP="000B1A8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966D8">
        <w:rPr>
          <w:rFonts w:ascii="Times New Roman" w:hAnsi="Times New Roman" w:cs="Times New Roman"/>
          <w:b/>
          <w:sz w:val="36"/>
          <w:szCs w:val="36"/>
        </w:rPr>
        <w:t>Отчет Совета директоров акционерного общества по приоритетным направлениям его деятельности</w:t>
      </w:r>
      <w:r w:rsidRPr="00996597">
        <w:rPr>
          <w:rFonts w:ascii="Times New Roman" w:hAnsi="Times New Roman" w:cs="Times New Roman"/>
          <w:b/>
          <w:sz w:val="28"/>
          <w:szCs w:val="28"/>
        </w:rPr>
        <w:t>.</w:t>
      </w:r>
    </w:p>
    <w:p w14:paraId="33A068BB" w14:textId="77777777" w:rsidR="00CF3861" w:rsidRDefault="00CF3861" w:rsidP="00CF3861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2BDEA71A" w14:textId="53C3BC51" w:rsidR="00CF3861" w:rsidRPr="00CF3861" w:rsidRDefault="00CF3861" w:rsidP="00CF3861">
      <w:pPr>
        <w:rPr>
          <w:rFonts w:ascii="Times New Roman" w:hAnsi="Times New Roman" w:cs="Times New Roman"/>
          <w:sz w:val="28"/>
          <w:szCs w:val="28"/>
        </w:rPr>
      </w:pPr>
      <w:r w:rsidRPr="00CF3861">
        <w:rPr>
          <w:rFonts w:ascii="Times New Roman" w:hAnsi="Times New Roman" w:cs="Times New Roman"/>
          <w:sz w:val="36"/>
          <w:szCs w:val="36"/>
        </w:rPr>
        <w:t xml:space="preserve"> Основные производственные и финансовые показатели</w:t>
      </w:r>
    </w:p>
    <w:p w14:paraId="5342A4EB" w14:textId="77777777" w:rsidR="0039251F" w:rsidRDefault="0039251F" w:rsidP="0039251F">
      <w:pPr>
        <w:rPr>
          <w:rFonts w:ascii="Times New Roman" w:hAnsi="Times New Roman" w:cs="Times New Roman"/>
          <w:b/>
          <w:sz w:val="28"/>
          <w:szCs w:val="28"/>
        </w:rPr>
      </w:pPr>
    </w:p>
    <w:p w14:paraId="3DCE9951" w14:textId="77777777" w:rsidR="00CF3861" w:rsidRDefault="00CF3861" w:rsidP="0039251F">
      <w:pPr>
        <w:rPr>
          <w:rFonts w:ascii="Times New Roman" w:hAnsi="Times New Roman" w:cs="Times New Roman"/>
          <w:b/>
          <w:sz w:val="32"/>
          <w:szCs w:val="32"/>
        </w:rPr>
      </w:pPr>
      <w:r w:rsidRPr="00CF3861">
        <w:rPr>
          <w:rFonts w:ascii="Times New Roman" w:hAnsi="Times New Roman" w:cs="Times New Roman"/>
          <w:b/>
          <w:sz w:val="32"/>
          <w:szCs w:val="32"/>
        </w:rPr>
        <w:t xml:space="preserve">Показатели финансово-экономической деятельности </w:t>
      </w:r>
    </w:p>
    <w:p w14:paraId="00E7BE1C" w14:textId="5C23A08C" w:rsidR="0039251F" w:rsidRDefault="00CF3861" w:rsidP="003925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proofErr w:type="gramStart"/>
      <w:r w:rsidRPr="00CF3861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CF3861">
        <w:rPr>
          <w:rFonts w:ascii="Times New Roman" w:hAnsi="Times New Roman" w:cs="Times New Roman"/>
          <w:b/>
          <w:sz w:val="32"/>
          <w:szCs w:val="32"/>
        </w:rPr>
        <w:t xml:space="preserve"> 2013 год.</w:t>
      </w:r>
    </w:p>
    <w:p w14:paraId="5DD31152" w14:textId="77777777" w:rsidR="00CF3861" w:rsidRDefault="00CF3861" w:rsidP="0039251F">
      <w:pPr>
        <w:rPr>
          <w:rFonts w:ascii="Times New Roman" w:hAnsi="Times New Roman" w:cs="Times New Roman"/>
          <w:b/>
          <w:sz w:val="32"/>
          <w:szCs w:val="32"/>
        </w:rPr>
      </w:pPr>
    </w:p>
    <w:p w14:paraId="054C574D" w14:textId="77777777" w:rsidR="00CF3861" w:rsidRPr="00CF3861" w:rsidRDefault="00CF3861" w:rsidP="0039251F">
      <w:pPr>
        <w:rPr>
          <w:rFonts w:ascii="Times New Roman" w:hAnsi="Times New Roman" w:cs="Times New Roman"/>
          <w:b/>
          <w:sz w:val="32"/>
          <w:szCs w:val="32"/>
        </w:rPr>
      </w:pPr>
    </w:p>
    <w:p w14:paraId="5574E62D" w14:textId="77777777" w:rsidR="0039251F" w:rsidRDefault="0039251F" w:rsidP="0039251F">
      <w:pPr>
        <w:rPr>
          <w:rFonts w:ascii="Times New Roman" w:hAnsi="Times New Roman" w:cs="Times New Roman"/>
          <w:b/>
          <w:sz w:val="28"/>
          <w:szCs w:val="28"/>
        </w:rPr>
      </w:pPr>
    </w:p>
    <w:p w14:paraId="00AF3A6C" w14:textId="77777777" w:rsidR="0039251F" w:rsidRDefault="0039251F" w:rsidP="0039251F">
      <w:pPr>
        <w:rPr>
          <w:rFonts w:ascii="Times New Roman" w:hAnsi="Times New Roman" w:cs="Times New Roman"/>
          <w:b/>
          <w:sz w:val="28"/>
          <w:szCs w:val="28"/>
        </w:rPr>
      </w:pPr>
    </w:p>
    <w:p w14:paraId="5D60F9A7" w14:textId="77777777" w:rsidR="0039251F" w:rsidRDefault="0039251F" w:rsidP="0039251F">
      <w:pPr>
        <w:rPr>
          <w:rFonts w:ascii="Times New Roman" w:hAnsi="Times New Roman" w:cs="Times New Roman"/>
          <w:b/>
          <w:sz w:val="28"/>
          <w:szCs w:val="28"/>
        </w:rPr>
      </w:pPr>
    </w:p>
    <w:p w14:paraId="6C567341" w14:textId="77777777" w:rsidR="0039251F" w:rsidRPr="0039251F" w:rsidRDefault="0039251F" w:rsidP="0039251F">
      <w:pPr>
        <w:rPr>
          <w:rFonts w:ascii="Times New Roman" w:hAnsi="Times New Roman" w:cs="Times New Roman"/>
          <w:b/>
          <w:sz w:val="28"/>
          <w:szCs w:val="28"/>
        </w:rPr>
      </w:pPr>
    </w:p>
    <w:p w14:paraId="28122EF6" w14:textId="77777777" w:rsidR="0039251F" w:rsidRPr="0039251F" w:rsidRDefault="0039251F" w:rsidP="0039251F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gramStart"/>
      <w:r w:rsidRPr="0039251F">
        <w:rPr>
          <w:b/>
          <w:sz w:val="28"/>
          <w:szCs w:val="28"/>
          <w:u w:val="single"/>
        </w:rPr>
        <w:t>КРАТКИЕ  СВЕДЕНИЯ</w:t>
      </w:r>
      <w:proofErr w:type="gramEnd"/>
      <w:r w:rsidRPr="0039251F">
        <w:rPr>
          <w:b/>
          <w:sz w:val="28"/>
          <w:szCs w:val="28"/>
          <w:u w:val="single"/>
        </w:rPr>
        <w:t xml:space="preserve">  об ОАО «</w:t>
      </w:r>
      <w:proofErr w:type="spellStart"/>
      <w:r w:rsidRPr="0039251F">
        <w:rPr>
          <w:b/>
          <w:sz w:val="28"/>
          <w:szCs w:val="28"/>
          <w:u w:val="single"/>
        </w:rPr>
        <w:t>Терекалмаз</w:t>
      </w:r>
      <w:proofErr w:type="spellEnd"/>
      <w:r w:rsidRPr="0039251F">
        <w:rPr>
          <w:b/>
          <w:sz w:val="28"/>
          <w:szCs w:val="28"/>
          <w:u w:val="single"/>
        </w:rPr>
        <w:t xml:space="preserve">» </w:t>
      </w:r>
    </w:p>
    <w:p w14:paraId="5CA06E7B" w14:textId="77777777" w:rsidR="0039251F" w:rsidRPr="0039251F" w:rsidRDefault="0039251F" w:rsidP="003925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1BB39BB" w14:textId="77777777" w:rsidR="0039251F" w:rsidRPr="0039251F" w:rsidRDefault="0039251F" w:rsidP="003925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История создания и развития Общества.</w:t>
      </w:r>
    </w:p>
    <w:p w14:paraId="56A274A1" w14:textId="77777777" w:rsidR="0039251F" w:rsidRPr="0039251F" w:rsidRDefault="0039251F" w:rsidP="003925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1611915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Полное фирменное наименование Общества:</w:t>
      </w:r>
    </w:p>
    <w:p w14:paraId="750C173D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 xml:space="preserve">Открытое акционерное общество «Терский завод алмазного инструмента»  </w:t>
      </w:r>
    </w:p>
    <w:p w14:paraId="6BE46C7A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  <w:lang w:val="en-US"/>
        </w:rPr>
        <w:t>Joint</w:t>
      </w:r>
      <w:r w:rsidRPr="0039251F">
        <w:rPr>
          <w:sz w:val="28"/>
          <w:szCs w:val="28"/>
        </w:rPr>
        <w:t xml:space="preserve"> – </w:t>
      </w:r>
      <w:r w:rsidRPr="0039251F">
        <w:rPr>
          <w:sz w:val="28"/>
          <w:szCs w:val="28"/>
          <w:lang w:val="en-US"/>
        </w:rPr>
        <w:t>Stock</w:t>
      </w:r>
      <w:r w:rsidRPr="0039251F">
        <w:rPr>
          <w:sz w:val="28"/>
          <w:szCs w:val="28"/>
        </w:rPr>
        <w:t xml:space="preserve"> </w:t>
      </w:r>
      <w:r w:rsidRPr="0039251F">
        <w:rPr>
          <w:sz w:val="28"/>
          <w:szCs w:val="28"/>
          <w:lang w:val="en-US"/>
        </w:rPr>
        <w:t>Company</w:t>
      </w:r>
      <w:r w:rsidRPr="0039251F">
        <w:rPr>
          <w:sz w:val="28"/>
          <w:szCs w:val="28"/>
        </w:rPr>
        <w:t xml:space="preserve"> «</w:t>
      </w:r>
      <w:proofErr w:type="spellStart"/>
      <w:r w:rsidRPr="0039251F">
        <w:rPr>
          <w:sz w:val="28"/>
          <w:szCs w:val="28"/>
          <w:lang w:val="en-US"/>
        </w:rPr>
        <w:t>Terekalmaz</w:t>
      </w:r>
      <w:proofErr w:type="spellEnd"/>
      <w:r w:rsidRPr="0039251F">
        <w:rPr>
          <w:sz w:val="28"/>
          <w:szCs w:val="28"/>
        </w:rPr>
        <w:t>»</w:t>
      </w:r>
    </w:p>
    <w:p w14:paraId="3522851F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0859D965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Сокращенное наименование:</w:t>
      </w:r>
    </w:p>
    <w:p w14:paraId="79F5B714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lastRenderedPageBreak/>
        <w:t>ОАО «</w:t>
      </w:r>
      <w:proofErr w:type="spellStart"/>
      <w:r w:rsidRPr="0039251F">
        <w:rPr>
          <w:sz w:val="28"/>
          <w:szCs w:val="28"/>
        </w:rPr>
        <w:t>Терекалмаз</w:t>
      </w:r>
      <w:proofErr w:type="spellEnd"/>
      <w:r w:rsidRPr="0039251F">
        <w:rPr>
          <w:sz w:val="28"/>
          <w:szCs w:val="28"/>
        </w:rPr>
        <w:t>»</w:t>
      </w:r>
    </w:p>
    <w:p w14:paraId="627D6DBA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  <w:lang w:val="en-US"/>
        </w:rPr>
        <w:t>JSC</w:t>
      </w:r>
      <w:r w:rsidRPr="0039251F">
        <w:rPr>
          <w:sz w:val="28"/>
          <w:szCs w:val="28"/>
        </w:rPr>
        <w:t xml:space="preserve"> «</w:t>
      </w:r>
      <w:proofErr w:type="spellStart"/>
      <w:r w:rsidRPr="0039251F">
        <w:rPr>
          <w:sz w:val="28"/>
          <w:szCs w:val="28"/>
          <w:lang w:val="en-US"/>
        </w:rPr>
        <w:t>Terekalmaz</w:t>
      </w:r>
      <w:proofErr w:type="spellEnd"/>
      <w:r w:rsidRPr="0039251F">
        <w:rPr>
          <w:sz w:val="28"/>
          <w:szCs w:val="28"/>
        </w:rPr>
        <w:t>»</w:t>
      </w:r>
    </w:p>
    <w:p w14:paraId="00E77555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</w:p>
    <w:p w14:paraId="4A8CDB8D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Сведения о государственной регистрации Общества:</w:t>
      </w:r>
    </w:p>
    <w:p w14:paraId="18CF875E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Номер государственной регистрации: 75а</w:t>
      </w:r>
    </w:p>
    <w:p w14:paraId="6C88E99A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Дата регистрации: 1 октября 1999 года</w:t>
      </w:r>
    </w:p>
    <w:p w14:paraId="5B76AB96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Наименование органа осуществившего государственную регистрацию: Комитет по управлению муниципальным имуществом и поддержки предпринимательства</w:t>
      </w:r>
    </w:p>
    <w:p w14:paraId="72A17008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Основной государственный регистрационный номер: 1020700588688</w:t>
      </w:r>
    </w:p>
    <w:p w14:paraId="3653DB3E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Дата регистрации: 19 сентября 2002 года</w:t>
      </w:r>
    </w:p>
    <w:p w14:paraId="4A0EA893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Наименование органа осуществившего государственную регистрацию: Межрайонная инспекция МНС России № 3 по Кабардино-Балкарской Республике (территориальный участок 0705 по Терскому району)</w:t>
      </w:r>
    </w:p>
    <w:p w14:paraId="2F65DB15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</w:p>
    <w:p w14:paraId="719279A3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Сведения о создании и развитии Общества:</w:t>
      </w:r>
    </w:p>
    <w:p w14:paraId="1B514739" w14:textId="2658B18E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ОАО «</w:t>
      </w:r>
      <w:proofErr w:type="spellStart"/>
      <w:r w:rsidRPr="0039251F">
        <w:rPr>
          <w:sz w:val="28"/>
          <w:szCs w:val="28"/>
        </w:rPr>
        <w:t>Терекалмаз</w:t>
      </w:r>
      <w:proofErr w:type="spellEnd"/>
      <w:r w:rsidRPr="0039251F">
        <w:rPr>
          <w:sz w:val="28"/>
          <w:szCs w:val="28"/>
        </w:rPr>
        <w:t>» был создан на основании Указа Президента Российской Федерации № 721 от 1 июля 1992 года и в соответствии с планом приватизации от 04.12.1992 года Постановлением Администрации Терского района № 100.1 от 17.12.1992 года на базе «Терского завода алмазного инструмента им.</w:t>
      </w:r>
      <w:r w:rsidR="00CF3861">
        <w:rPr>
          <w:sz w:val="28"/>
          <w:szCs w:val="28"/>
        </w:rPr>
        <w:t xml:space="preserve"> </w:t>
      </w:r>
      <w:r w:rsidRPr="0039251F">
        <w:rPr>
          <w:sz w:val="28"/>
          <w:szCs w:val="28"/>
        </w:rPr>
        <w:t>Ленинского комсомола» зарегистрировано акционерное общество открытого типа «Терский завод алмазного инструмента (ОАО «</w:t>
      </w:r>
      <w:proofErr w:type="spellStart"/>
      <w:r w:rsidRPr="0039251F">
        <w:rPr>
          <w:sz w:val="28"/>
          <w:szCs w:val="28"/>
        </w:rPr>
        <w:t>Терекалмаз</w:t>
      </w:r>
      <w:proofErr w:type="spellEnd"/>
      <w:r w:rsidRPr="0039251F">
        <w:rPr>
          <w:sz w:val="28"/>
          <w:szCs w:val="28"/>
        </w:rPr>
        <w:t>»). Целью создания Общества было повышение эффективности экономической системы государства и переход от плановой экономики к рыночным отношениям. Согласно уставу предприятия основной целью Общества является извлечение прибыли. В сентябре 2002 года Общество прошло государственную регистрацию и внесена запись в Единый государственный реестр юридических лиц.</w:t>
      </w:r>
    </w:p>
    <w:p w14:paraId="1826037E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</w:p>
    <w:p w14:paraId="0560AB94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Контактная информация:</w:t>
      </w:r>
    </w:p>
    <w:p w14:paraId="68A30615" w14:textId="77777777" w:rsidR="0039251F" w:rsidRPr="0039251F" w:rsidRDefault="0039251F" w:rsidP="0039251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Место нахождения:</w:t>
      </w:r>
    </w:p>
    <w:p w14:paraId="512D521B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Российская Федерация, Кабардино-Балкарская Республика,</w:t>
      </w:r>
    </w:p>
    <w:p w14:paraId="52B3C706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 xml:space="preserve">г. Терек, ул. </w:t>
      </w:r>
      <w:proofErr w:type="spellStart"/>
      <w:r w:rsidRPr="0039251F">
        <w:rPr>
          <w:sz w:val="28"/>
          <w:szCs w:val="28"/>
        </w:rPr>
        <w:t>Татуева</w:t>
      </w:r>
      <w:proofErr w:type="spellEnd"/>
      <w:r w:rsidRPr="0039251F">
        <w:rPr>
          <w:sz w:val="28"/>
          <w:szCs w:val="28"/>
        </w:rPr>
        <w:t>, 1</w:t>
      </w:r>
    </w:p>
    <w:p w14:paraId="55E71CA0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 xml:space="preserve">Почтовый адрес: 361202, Россия, Кабардино-Балкарская Республика, </w:t>
      </w:r>
      <w:proofErr w:type="spellStart"/>
      <w:r w:rsidRPr="0039251F">
        <w:rPr>
          <w:sz w:val="28"/>
          <w:szCs w:val="28"/>
        </w:rPr>
        <w:t>г.Терек</w:t>
      </w:r>
      <w:proofErr w:type="spellEnd"/>
      <w:r w:rsidRPr="0039251F">
        <w:rPr>
          <w:sz w:val="28"/>
          <w:szCs w:val="28"/>
        </w:rPr>
        <w:t xml:space="preserve">, ул. </w:t>
      </w:r>
      <w:proofErr w:type="spellStart"/>
      <w:r w:rsidRPr="0039251F">
        <w:rPr>
          <w:sz w:val="28"/>
          <w:szCs w:val="28"/>
        </w:rPr>
        <w:t>Татуева</w:t>
      </w:r>
      <w:proofErr w:type="spellEnd"/>
      <w:r w:rsidRPr="0039251F">
        <w:rPr>
          <w:sz w:val="28"/>
          <w:szCs w:val="28"/>
        </w:rPr>
        <w:t>, 1</w:t>
      </w:r>
    </w:p>
    <w:p w14:paraId="1E421219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</w:p>
    <w:p w14:paraId="67BD191A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Контактные телефоны: (86632) 41176   Факс: (86632) 43690</w:t>
      </w:r>
    </w:p>
    <w:p w14:paraId="5C78FA59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 xml:space="preserve">Адрес электронной почты: </w:t>
      </w:r>
      <w:hyperlink r:id="rId10" w:history="1">
        <w:r w:rsidRPr="0039251F">
          <w:rPr>
            <w:rStyle w:val="ac"/>
            <w:sz w:val="28"/>
            <w:szCs w:val="28"/>
            <w:lang w:val="en-US"/>
          </w:rPr>
          <w:t>mail</w:t>
        </w:r>
        <w:r w:rsidRPr="0039251F">
          <w:rPr>
            <w:rStyle w:val="ac"/>
            <w:sz w:val="28"/>
            <w:szCs w:val="28"/>
          </w:rPr>
          <w:t>@</w:t>
        </w:r>
        <w:proofErr w:type="spellStart"/>
        <w:r w:rsidRPr="0039251F">
          <w:rPr>
            <w:rStyle w:val="ac"/>
            <w:sz w:val="28"/>
            <w:szCs w:val="28"/>
            <w:lang w:val="en-US"/>
          </w:rPr>
          <w:t>terekalmaz</w:t>
        </w:r>
        <w:proofErr w:type="spellEnd"/>
        <w:r w:rsidRPr="0039251F">
          <w:rPr>
            <w:rStyle w:val="ac"/>
            <w:sz w:val="28"/>
            <w:szCs w:val="28"/>
          </w:rPr>
          <w:t>.</w:t>
        </w:r>
        <w:proofErr w:type="spellStart"/>
        <w:r w:rsidRPr="0039251F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14:paraId="489E3FA6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 xml:space="preserve">Адрес страницы в сети интернет: </w:t>
      </w:r>
      <w:hyperlink r:id="rId11" w:history="1">
        <w:r w:rsidRPr="0039251F">
          <w:rPr>
            <w:rStyle w:val="ac"/>
            <w:sz w:val="28"/>
            <w:szCs w:val="28"/>
            <w:lang w:val="en-US"/>
          </w:rPr>
          <w:t>www</w:t>
        </w:r>
        <w:r w:rsidRPr="0039251F">
          <w:rPr>
            <w:rStyle w:val="ac"/>
            <w:sz w:val="28"/>
            <w:szCs w:val="28"/>
          </w:rPr>
          <w:t>.</w:t>
        </w:r>
        <w:proofErr w:type="spellStart"/>
        <w:r w:rsidRPr="0039251F">
          <w:rPr>
            <w:rStyle w:val="ac"/>
            <w:sz w:val="28"/>
            <w:szCs w:val="28"/>
            <w:lang w:val="en-US"/>
          </w:rPr>
          <w:t>terekalmaz</w:t>
        </w:r>
        <w:proofErr w:type="spellEnd"/>
        <w:r w:rsidRPr="0039251F">
          <w:rPr>
            <w:rStyle w:val="ac"/>
            <w:sz w:val="28"/>
            <w:szCs w:val="28"/>
          </w:rPr>
          <w:t>.</w:t>
        </w:r>
        <w:proofErr w:type="spellStart"/>
        <w:r w:rsidRPr="0039251F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14:paraId="79FC9007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>Идентификационный номер налогоплательщика: ИНН 0705000017</w:t>
      </w:r>
    </w:p>
    <w:p w14:paraId="692E5CBE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</w:p>
    <w:p w14:paraId="32A8DD22" w14:textId="77777777" w:rsidR="0039251F" w:rsidRPr="0039251F" w:rsidRDefault="0039251F" w:rsidP="003925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9251F">
        <w:rPr>
          <w:b/>
          <w:sz w:val="28"/>
          <w:szCs w:val="28"/>
          <w:u w:val="single"/>
        </w:rPr>
        <w:t>Основная хозяйственная деятельность</w:t>
      </w:r>
    </w:p>
    <w:p w14:paraId="703DAD38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  <w:r w:rsidRPr="0039251F">
        <w:rPr>
          <w:sz w:val="28"/>
          <w:szCs w:val="28"/>
        </w:rPr>
        <w:t xml:space="preserve">Отраслевая принадлежность эмитента: </w:t>
      </w:r>
      <w:proofErr w:type="gramStart"/>
      <w:r w:rsidRPr="0039251F">
        <w:rPr>
          <w:sz w:val="28"/>
          <w:szCs w:val="28"/>
        </w:rPr>
        <w:t>ОКВЭД:28.62</w:t>
      </w:r>
      <w:proofErr w:type="gramEnd"/>
    </w:p>
    <w:p w14:paraId="092B2FD6" w14:textId="77777777" w:rsidR="0039251F" w:rsidRPr="0039251F" w:rsidRDefault="0039251F" w:rsidP="0039251F">
      <w:pPr>
        <w:spacing w:line="360" w:lineRule="auto"/>
        <w:jc w:val="both"/>
        <w:rPr>
          <w:sz w:val="28"/>
          <w:szCs w:val="28"/>
        </w:rPr>
      </w:pPr>
    </w:p>
    <w:p w14:paraId="4B906605" w14:textId="1D6E5479" w:rsidR="0039251F" w:rsidRDefault="0039251F" w:rsidP="0039251F">
      <w:pPr>
        <w:rPr>
          <w:sz w:val="28"/>
          <w:szCs w:val="28"/>
        </w:rPr>
      </w:pPr>
      <w:proofErr w:type="gramStart"/>
      <w:r w:rsidRPr="0039251F">
        <w:rPr>
          <w:sz w:val="28"/>
          <w:szCs w:val="28"/>
        </w:rPr>
        <w:t>Основная  хозяйственная</w:t>
      </w:r>
      <w:proofErr w:type="gramEnd"/>
      <w:r w:rsidRPr="0039251F">
        <w:rPr>
          <w:sz w:val="28"/>
          <w:szCs w:val="28"/>
        </w:rPr>
        <w:t xml:space="preserve"> деятельность Общества – П</w:t>
      </w:r>
      <w:r>
        <w:rPr>
          <w:sz w:val="28"/>
          <w:szCs w:val="28"/>
        </w:rPr>
        <w:t>роизводство инструментов.</w:t>
      </w:r>
    </w:p>
    <w:p w14:paraId="19EBEF9C" w14:textId="2CF70D0E" w:rsidR="009C2A36" w:rsidRDefault="009C2A36" w:rsidP="00392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0B53E7FA" w14:textId="0F291A98" w:rsidR="009C2A36" w:rsidRDefault="009C2A36" w:rsidP="0039251F">
      <w:pPr>
        <w:rPr>
          <w:b/>
          <w:sz w:val="28"/>
          <w:szCs w:val="28"/>
          <w:u w:val="single"/>
        </w:rPr>
      </w:pPr>
      <w:r w:rsidRPr="009C2A36">
        <w:rPr>
          <w:b/>
          <w:sz w:val="28"/>
          <w:szCs w:val="28"/>
          <w:u w:val="single"/>
        </w:rPr>
        <w:t>Деятельность совета директоров по управлению развитием Общества</w:t>
      </w:r>
    </w:p>
    <w:p w14:paraId="36EDEE1E" w14:textId="77777777" w:rsidR="009C2A36" w:rsidRDefault="009C2A36" w:rsidP="0039251F">
      <w:pPr>
        <w:rPr>
          <w:b/>
          <w:sz w:val="28"/>
          <w:szCs w:val="28"/>
          <w:u w:val="single"/>
        </w:rPr>
      </w:pPr>
    </w:p>
    <w:p w14:paraId="60D4D7E1" w14:textId="0B5896AD" w:rsidR="009C2A36" w:rsidRPr="009C2A36" w:rsidRDefault="009C2A36" w:rsidP="003925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За 2014 год </w:t>
      </w:r>
      <w:r w:rsidRPr="009C2A36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9C2A36">
        <w:rPr>
          <w:sz w:val="28"/>
          <w:szCs w:val="28"/>
        </w:rPr>
        <w:t xml:space="preserve"> директоров </w:t>
      </w:r>
      <w:r>
        <w:rPr>
          <w:sz w:val="28"/>
          <w:szCs w:val="28"/>
        </w:rPr>
        <w:t>проведено 22 плановых заседаний</w:t>
      </w:r>
      <w:r w:rsidR="00D17BFD">
        <w:rPr>
          <w:sz w:val="28"/>
          <w:szCs w:val="28"/>
        </w:rPr>
        <w:t xml:space="preserve"> на регулярной основе.</w:t>
      </w:r>
      <w:r>
        <w:rPr>
          <w:sz w:val="28"/>
          <w:szCs w:val="28"/>
        </w:rPr>
        <w:t xml:space="preserve"> </w:t>
      </w:r>
      <w:r w:rsidR="00D17BFD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Совета директоров принимали активное участие в обсуждаемых в</w:t>
      </w:r>
      <w:r w:rsidR="00D17BFD">
        <w:rPr>
          <w:sz w:val="28"/>
          <w:szCs w:val="28"/>
        </w:rPr>
        <w:t xml:space="preserve">опросах и принимаемых решениях, что положительно сказывалось на их качество и обоснованность. </w:t>
      </w:r>
      <w:r>
        <w:rPr>
          <w:sz w:val="28"/>
          <w:szCs w:val="28"/>
        </w:rPr>
        <w:t xml:space="preserve"> </w:t>
      </w:r>
      <w:r w:rsidR="00D17BFD">
        <w:rPr>
          <w:sz w:val="28"/>
          <w:szCs w:val="28"/>
        </w:rPr>
        <w:t xml:space="preserve">Все принятые решения реализованы. Благотворительная и спонсорская деятельность являются в работе Совета одним из приоритетных </w:t>
      </w:r>
      <w:r w:rsidR="00D17BFD">
        <w:rPr>
          <w:sz w:val="28"/>
          <w:szCs w:val="28"/>
        </w:rPr>
        <w:lastRenderedPageBreak/>
        <w:t xml:space="preserve">направлений. </w:t>
      </w:r>
      <w:r w:rsidR="00E36668">
        <w:rPr>
          <w:sz w:val="28"/>
          <w:szCs w:val="28"/>
        </w:rPr>
        <w:t xml:space="preserve">Поддержка ветеранов Великой Отечественной войны и труда, инвалидов, незащищенных слоев населения города, района и республики неотъемлемая часть заботы Совета директоров о них. </w:t>
      </w:r>
    </w:p>
    <w:p w14:paraId="1039AF95" w14:textId="77777777" w:rsidR="00D966D8" w:rsidRPr="009C2A36" w:rsidRDefault="00D966D8" w:rsidP="00D966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833C6E" w14:textId="77777777" w:rsidR="00D966D8" w:rsidRPr="00996597" w:rsidRDefault="00D966D8" w:rsidP="00D966D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AA8D6FD" w14:textId="1790FBB1" w:rsidR="00023012" w:rsidRPr="00D966D8" w:rsidRDefault="00023012" w:rsidP="000B1A8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966D8">
        <w:rPr>
          <w:b/>
          <w:bCs/>
          <w:sz w:val="36"/>
          <w:szCs w:val="36"/>
        </w:rPr>
        <w:t>Информация об объеме каждого их использованных акционерным обществом в отчетном году видов энергетических ресурсов в натуральном и денежном выражении</w:t>
      </w:r>
      <w:r w:rsidR="006A5135">
        <w:rPr>
          <w:b/>
          <w:bCs/>
          <w:sz w:val="36"/>
          <w:szCs w:val="36"/>
        </w:rPr>
        <w:t>.</w:t>
      </w:r>
    </w:p>
    <w:p w14:paraId="5A4C686C" w14:textId="77777777" w:rsidR="00023012" w:rsidRPr="00D966D8" w:rsidRDefault="00023012" w:rsidP="00023012">
      <w:pPr>
        <w:pStyle w:val="Standard"/>
        <w:jc w:val="center"/>
        <w:rPr>
          <w:rFonts w:hint="eastAsia"/>
          <w:sz w:val="36"/>
          <w:szCs w:val="36"/>
        </w:rPr>
      </w:pPr>
    </w:p>
    <w:p w14:paraId="404EE022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2014 году Обществом было потреблено:</w:t>
      </w:r>
    </w:p>
    <w:p w14:paraId="2CF95D95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</w:p>
    <w:p w14:paraId="7587DFD0" w14:textId="32839CAC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Электроэнергии — 3 461 324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на сумму 12 727 </w:t>
      </w:r>
      <w:proofErr w:type="gramStart"/>
      <w:r>
        <w:rPr>
          <w:sz w:val="28"/>
          <w:szCs w:val="28"/>
        </w:rPr>
        <w:t>824  (</w:t>
      </w:r>
      <w:proofErr w:type="gramEnd"/>
      <w:r>
        <w:rPr>
          <w:sz w:val="28"/>
          <w:szCs w:val="28"/>
        </w:rPr>
        <w:t xml:space="preserve">двенадцать миллионов семьсот двадцать семь тысяч восемьсот </w:t>
      </w:r>
      <w:proofErr w:type="spellStart"/>
      <w:r>
        <w:rPr>
          <w:sz w:val="28"/>
          <w:szCs w:val="28"/>
        </w:rPr>
        <w:t>ддвадцать</w:t>
      </w:r>
      <w:proofErr w:type="spellEnd"/>
      <w:r>
        <w:rPr>
          <w:sz w:val="28"/>
          <w:szCs w:val="28"/>
        </w:rPr>
        <w:t xml:space="preserve"> четыре)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6A5135">
        <w:rPr>
          <w:sz w:val="28"/>
          <w:szCs w:val="28"/>
        </w:rPr>
        <w:t>:</w:t>
      </w:r>
    </w:p>
    <w:p w14:paraId="78A221B9" w14:textId="1B65FC0F" w:rsidR="00023012" w:rsidRDefault="006A5135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производственные нуж</w:t>
      </w:r>
      <w:r w:rsidR="00023012">
        <w:rPr>
          <w:sz w:val="28"/>
          <w:szCs w:val="28"/>
        </w:rPr>
        <w:t xml:space="preserve">ды - 3 396 911 </w:t>
      </w:r>
      <w:proofErr w:type="spellStart"/>
      <w:r w:rsidR="00023012">
        <w:rPr>
          <w:sz w:val="28"/>
          <w:szCs w:val="28"/>
        </w:rPr>
        <w:t>кВтч</w:t>
      </w:r>
      <w:proofErr w:type="spellEnd"/>
      <w:r w:rsidR="00023012">
        <w:rPr>
          <w:sz w:val="28"/>
          <w:szCs w:val="28"/>
        </w:rPr>
        <w:t xml:space="preserve"> на сумму 12 430 062 (двенадцать миллионов четыреста тридцать тысяч шестьдесят два) руб.;</w:t>
      </w:r>
    </w:p>
    <w:p w14:paraId="7EF4BD73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коммунально-бытовое потребление — 64 413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 на сумму 297 762 (двести девяносто семь тысяч семьсот шестьдесят два) руб.;</w:t>
      </w:r>
    </w:p>
    <w:p w14:paraId="0E14DFBD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</w:p>
    <w:p w14:paraId="51D80BFB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Природный газ — на потребление газа промышленно-отопительной котельной: 1 584 745 м</w:t>
      </w:r>
      <w:proofErr w:type="gramStart"/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сумму 9 147 907 (девять миллионов сто сорок семь тысяч девятьсот семь) руб.;</w:t>
      </w:r>
    </w:p>
    <w:p w14:paraId="68509078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</w:p>
    <w:p w14:paraId="75C34832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Выработано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— 12 495 </w:t>
      </w:r>
      <w:proofErr w:type="gramStart"/>
      <w:r>
        <w:rPr>
          <w:sz w:val="28"/>
          <w:szCs w:val="28"/>
        </w:rPr>
        <w:t>Гкал.;</w:t>
      </w:r>
      <w:proofErr w:type="gramEnd"/>
    </w:p>
    <w:p w14:paraId="5FB5A8FD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</w:p>
    <w:p w14:paraId="5720D171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4. Вода — 92,2 тыс. м</w:t>
      </w:r>
      <w:proofErr w:type="gramStart"/>
      <w:r>
        <w:rPr>
          <w:sz w:val="28"/>
          <w:szCs w:val="28"/>
          <w:vertAlign w:val="superscript"/>
        </w:rPr>
        <w:t xml:space="preserve">3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795 428 (семьсот девяносто пять тысяч четыреста двадцать восемь) руб.</w:t>
      </w:r>
    </w:p>
    <w:p w14:paraId="210FCC98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</w:p>
    <w:p w14:paraId="7628B650" w14:textId="77777777" w:rsidR="00023012" w:rsidRDefault="00023012" w:rsidP="00023012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Общее потребление энергоресурсов за отчетный год в денежном выражении составило 22 671 159 (двадцать два миллиона шестьсот семьдесят одна тысяча сто пятьдесят девять) руб.</w:t>
      </w:r>
    </w:p>
    <w:p w14:paraId="1F7B2AF8" w14:textId="77777777" w:rsidR="00A36F86" w:rsidRPr="00023012" w:rsidRDefault="00A36F86" w:rsidP="00D8731D">
      <w:pPr>
        <w:rPr>
          <w:rFonts w:ascii="Times New Roman" w:hAnsi="Times New Roman" w:cs="Times New Roman"/>
          <w:b/>
          <w:sz w:val="28"/>
          <w:szCs w:val="28"/>
        </w:rPr>
      </w:pPr>
    </w:p>
    <w:p w14:paraId="532C36F2" w14:textId="77777777" w:rsidR="00D8731D" w:rsidRPr="00D8731D" w:rsidRDefault="00D8731D">
      <w:pPr>
        <w:rPr>
          <w:rFonts w:ascii="Times New Roman" w:hAnsi="Times New Roman" w:cs="Times New Roman"/>
          <w:sz w:val="28"/>
          <w:szCs w:val="28"/>
        </w:rPr>
      </w:pPr>
    </w:p>
    <w:p w14:paraId="6244CD5C" w14:textId="77777777" w:rsidR="00D8731D" w:rsidRPr="00D8731D" w:rsidRDefault="00D8731D">
      <w:pPr>
        <w:rPr>
          <w:rFonts w:ascii="Times New Roman" w:hAnsi="Times New Roman" w:cs="Times New Roman"/>
          <w:sz w:val="28"/>
          <w:szCs w:val="28"/>
        </w:rPr>
      </w:pPr>
    </w:p>
    <w:p w14:paraId="04872E66" w14:textId="1DBEEB29" w:rsidR="00D8731D" w:rsidRPr="000B1A81" w:rsidRDefault="00D8731D" w:rsidP="000B1A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1A81">
        <w:rPr>
          <w:rFonts w:ascii="Times New Roman" w:hAnsi="Times New Roman" w:cs="Times New Roman"/>
          <w:b/>
          <w:sz w:val="36"/>
          <w:szCs w:val="36"/>
          <w:u w:val="single"/>
        </w:rPr>
        <w:t>Перспективы технического развития ОАО «</w:t>
      </w:r>
      <w:proofErr w:type="spellStart"/>
      <w:r w:rsidRPr="000B1A81">
        <w:rPr>
          <w:rFonts w:ascii="Times New Roman" w:hAnsi="Times New Roman" w:cs="Times New Roman"/>
          <w:b/>
          <w:sz w:val="36"/>
          <w:szCs w:val="36"/>
          <w:u w:val="single"/>
        </w:rPr>
        <w:t>Терекалмаз</w:t>
      </w:r>
      <w:proofErr w:type="spellEnd"/>
      <w:r w:rsidRPr="000B1A81">
        <w:rPr>
          <w:rFonts w:ascii="Times New Roman" w:hAnsi="Times New Roman" w:cs="Times New Roman"/>
          <w:b/>
          <w:sz w:val="36"/>
          <w:szCs w:val="36"/>
          <w:u w:val="single"/>
        </w:rPr>
        <w:t>».</w:t>
      </w:r>
    </w:p>
    <w:p w14:paraId="510BA8B7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44E05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41F1FB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lastRenderedPageBreak/>
        <w:t xml:space="preserve">    В 2015 году основными направлениями технического развития предприятия остаются работы по повышению эффективности производства за счет совершенствования технологии и модернизации продукции для повышения ее конкурентоспособности на рынке, при этом:</w:t>
      </w:r>
    </w:p>
    <w:p w14:paraId="64ECEDB1" w14:textId="524D31F4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t xml:space="preserve">-- по Производству бурового инструмента будет закончена разработка новых моделей коронок с увеличенной высотой </w:t>
      </w:r>
      <w:r w:rsidR="003C65C0" w:rsidRPr="00D8731D">
        <w:rPr>
          <w:rFonts w:ascii="Times New Roman" w:hAnsi="Times New Roman" w:cs="Times New Roman"/>
          <w:sz w:val="28"/>
          <w:szCs w:val="28"/>
        </w:rPr>
        <w:t>матриц, будут</w:t>
      </w:r>
      <w:r w:rsidRPr="00D8731D">
        <w:rPr>
          <w:rFonts w:ascii="Times New Roman" w:hAnsi="Times New Roman" w:cs="Times New Roman"/>
          <w:sz w:val="28"/>
          <w:szCs w:val="28"/>
        </w:rPr>
        <w:t xml:space="preserve"> продолжены работы по разработке и внедрению новых матричных композиций, в том числе и нано модифицированных, продолжится работа по совершенствованию технологии с целью повышения ее надежности, снижения производственных </w:t>
      </w:r>
      <w:r w:rsidR="003C65C0" w:rsidRPr="00D8731D">
        <w:rPr>
          <w:rFonts w:ascii="Times New Roman" w:hAnsi="Times New Roman" w:cs="Times New Roman"/>
          <w:sz w:val="28"/>
          <w:szCs w:val="28"/>
        </w:rPr>
        <w:t>расходов и</w:t>
      </w:r>
      <w:r w:rsidRPr="00D8731D">
        <w:rPr>
          <w:rFonts w:ascii="Times New Roman" w:hAnsi="Times New Roman" w:cs="Times New Roman"/>
          <w:sz w:val="28"/>
          <w:szCs w:val="28"/>
        </w:rPr>
        <w:t xml:space="preserve"> улучшения конкурентоспособности изделий.  </w:t>
      </w:r>
    </w:p>
    <w:p w14:paraId="70679263" w14:textId="75E8C1AA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t xml:space="preserve">-- По Производству правящего инструмента запланировано продолжение работ по освоению производства роликов для различных схем правки при </w:t>
      </w:r>
      <w:proofErr w:type="spellStart"/>
      <w:r w:rsidRPr="00D8731D">
        <w:rPr>
          <w:rFonts w:ascii="Times New Roman" w:hAnsi="Times New Roman" w:cs="Times New Roman"/>
          <w:sz w:val="28"/>
          <w:szCs w:val="28"/>
        </w:rPr>
        <w:t>зубошлифовании</w:t>
      </w:r>
      <w:proofErr w:type="spellEnd"/>
      <w:r w:rsidRPr="00D8731D">
        <w:rPr>
          <w:rFonts w:ascii="Times New Roman" w:hAnsi="Times New Roman" w:cs="Times New Roman"/>
          <w:sz w:val="28"/>
          <w:szCs w:val="28"/>
        </w:rPr>
        <w:t xml:space="preserve">, будут продолжены работы по разработке новых правящих дисков для станков с ЧПУ, в том числе двухниточный диск для правки </w:t>
      </w:r>
      <w:r w:rsidR="003C65C0" w:rsidRPr="00D8731D">
        <w:rPr>
          <w:rFonts w:ascii="Times New Roman" w:hAnsi="Times New Roman" w:cs="Times New Roman"/>
          <w:sz w:val="28"/>
          <w:szCs w:val="28"/>
        </w:rPr>
        <w:t>шлиф кругов</w:t>
      </w:r>
      <w:r w:rsidRPr="00D8731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8731D">
        <w:rPr>
          <w:rFonts w:ascii="Times New Roman" w:hAnsi="Times New Roman" w:cs="Times New Roman"/>
          <w:sz w:val="28"/>
          <w:szCs w:val="28"/>
        </w:rPr>
        <w:t>эльбора</w:t>
      </w:r>
      <w:proofErr w:type="spellEnd"/>
      <w:r w:rsidRPr="00D8731D">
        <w:rPr>
          <w:rFonts w:ascii="Times New Roman" w:hAnsi="Times New Roman" w:cs="Times New Roman"/>
          <w:sz w:val="28"/>
          <w:szCs w:val="28"/>
        </w:rPr>
        <w:t xml:space="preserve"> и продолжаются работы по освоению производства режущего инструмента с АТП.  </w:t>
      </w:r>
    </w:p>
    <w:p w14:paraId="5067E02B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t>-- По Производству камнеобрабатывающего инструмента наиболее перспективными</w:t>
      </w:r>
    </w:p>
    <w:p w14:paraId="3C0FA35E" w14:textId="77777777" w:rsidR="00D8731D" w:rsidRP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1D">
        <w:rPr>
          <w:rFonts w:ascii="Times New Roman" w:hAnsi="Times New Roman" w:cs="Times New Roman"/>
          <w:sz w:val="28"/>
          <w:szCs w:val="28"/>
        </w:rPr>
        <w:t>направлениями</w:t>
      </w:r>
      <w:proofErr w:type="gramEnd"/>
      <w:r w:rsidRPr="00D8731D">
        <w:rPr>
          <w:rFonts w:ascii="Times New Roman" w:hAnsi="Times New Roman" w:cs="Times New Roman"/>
          <w:sz w:val="28"/>
          <w:szCs w:val="28"/>
        </w:rPr>
        <w:t xml:space="preserve"> являются работы по созданию гаммы инструмента по фасонной обработке камня и освоению производства алмазных канатных пил по бетону.   </w:t>
      </w:r>
    </w:p>
    <w:p w14:paraId="3EFB2D82" w14:textId="4D7DCFF7" w:rsidR="00D8731D" w:rsidRDefault="00D8731D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D8731D">
        <w:rPr>
          <w:rFonts w:ascii="Times New Roman" w:hAnsi="Times New Roman" w:cs="Times New Roman"/>
          <w:sz w:val="28"/>
          <w:szCs w:val="28"/>
        </w:rPr>
        <w:t xml:space="preserve">  Кроме работ по техническому развитию производства </w:t>
      </w:r>
      <w:r w:rsidR="003C65C0" w:rsidRPr="00D8731D">
        <w:rPr>
          <w:rFonts w:ascii="Times New Roman" w:hAnsi="Times New Roman" w:cs="Times New Roman"/>
          <w:sz w:val="28"/>
          <w:szCs w:val="28"/>
        </w:rPr>
        <w:t>алмазных инструментов,</w:t>
      </w:r>
      <w:r w:rsidRPr="00D8731D">
        <w:rPr>
          <w:rFonts w:ascii="Times New Roman" w:hAnsi="Times New Roman" w:cs="Times New Roman"/>
          <w:sz w:val="28"/>
          <w:szCs w:val="28"/>
        </w:rPr>
        <w:t xml:space="preserve"> входящих в основную номенклатуру продукции, в последнее время ведется активная подготовка инвестиционного проекта: </w:t>
      </w:r>
      <w:r w:rsidR="003C65C0" w:rsidRPr="00D8731D">
        <w:rPr>
          <w:rFonts w:ascii="Times New Roman" w:hAnsi="Times New Roman" w:cs="Times New Roman"/>
          <w:sz w:val="28"/>
          <w:szCs w:val="28"/>
        </w:rPr>
        <w:t>«Организация</w:t>
      </w:r>
      <w:r w:rsidRPr="00D8731D">
        <w:rPr>
          <w:rFonts w:ascii="Times New Roman" w:hAnsi="Times New Roman" w:cs="Times New Roman"/>
          <w:sz w:val="28"/>
          <w:szCs w:val="28"/>
        </w:rPr>
        <w:t xml:space="preserve"> производства алмазного шлифовального инструмента на органической и металлической связках», ведется ОКР по изготовлению электролизера для производства </w:t>
      </w:r>
      <w:proofErr w:type="spellStart"/>
      <w:r w:rsidRPr="00D8731D">
        <w:rPr>
          <w:rFonts w:ascii="Times New Roman" w:hAnsi="Times New Roman" w:cs="Times New Roman"/>
          <w:sz w:val="28"/>
          <w:szCs w:val="28"/>
        </w:rPr>
        <w:t>нанодиспресного</w:t>
      </w:r>
      <w:proofErr w:type="spellEnd"/>
      <w:r w:rsidRPr="00D8731D">
        <w:rPr>
          <w:rFonts w:ascii="Times New Roman" w:hAnsi="Times New Roman" w:cs="Times New Roman"/>
          <w:sz w:val="28"/>
          <w:szCs w:val="28"/>
        </w:rPr>
        <w:t xml:space="preserve"> </w:t>
      </w:r>
      <w:r w:rsidRPr="00D8731D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Pr="00D8731D">
        <w:rPr>
          <w:rFonts w:ascii="Times New Roman" w:hAnsi="Times New Roman" w:cs="Times New Roman"/>
          <w:sz w:val="28"/>
          <w:szCs w:val="28"/>
        </w:rPr>
        <w:t xml:space="preserve"> и готовятся проекты технического перевооружения производственных цехов. </w:t>
      </w:r>
    </w:p>
    <w:p w14:paraId="7E1E486C" w14:textId="77777777" w:rsidR="006A5135" w:rsidRDefault="006A5135" w:rsidP="00D87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0E57E" w14:textId="71ED2B5E" w:rsidR="00E36668" w:rsidRPr="000B1A81" w:rsidRDefault="000B1A81" w:rsidP="000B1A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Отчет </w:t>
      </w:r>
      <w:r w:rsidR="006A5135" w:rsidRPr="000B1A81">
        <w:rPr>
          <w:rFonts w:ascii="Times New Roman" w:hAnsi="Times New Roman" w:cs="Times New Roman"/>
          <w:b/>
          <w:sz w:val="36"/>
          <w:szCs w:val="36"/>
          <w:u w:val="single"/>
        </w:rPr>
        <w:t>о выплате объявленных (начисленных) дивидендов.</w:t>
      </w:r>
    </w:p>
    <w:p w14:paraId="51BA7BD9" w14:textId="37728BED" w:rsidR="006A5135" w:rsidRDefault="006A5135" w:rsidP="006A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DD5DE" w14:textId="4AA85704" w:rsidR="006A5135" w:rsidRDefault="006A5135" w:rsidP="006A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годовом общем собрании акционеров 30 мая 2015 года принято решение следующего содержания «Дивиденды за 2014 год не выплачивать».</w:t>
      </w:r>
    </w:p>
    <w:p w14:paraId="01CBC0D1" w14:textId="77777777" w:rsidR="006A5135" w:rsidRDefault="006A5135" w:rsidP="006A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500C17" w14:textId="77777777" w:rsidR="006A5135" w:rsidRDefault="006A5135" w:rsidP="006A51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BDD9F7D" w14:textId="77777777" w:rsidR="006A5135" w:rsidRPr="006A5135" w:rsidRDefault="006A5135" w:rsidP="006A513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0C23755" w14:textId="77777777" w:rsidR="006A5135" w:rsidRDefault="006A5135" w:rsidP="000B1A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5135">
        <w:rPr>
          <w:rFonts w:ascii="Times New Roman" w:hAnsi="Times New Roman" w:cs="Times New Roman"/>
          <w:b/>
          <w:sz w:val="36"/>
          <w:szCs w:val="36"/>
          <w:u w:val="single"/>
        </w:rPr>
        <w:t xml:space="preserve">Описание основных факторов риска, связанных с деятельностью акционерного общества. </w:t>
      </w:r>
    </w:p>
    <w:p w14:paraId="5D7E470E" w14:textId="77777777" w:rsidR="00105BD5" w:rsidRDefault="00105BD5" w:rsidP="00105BD5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078BD06" w14:textId="77777777" w:rsidR="00105BD5" w:rsidRDefault="00105BD5" w:rsidP="00105BD5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2A5AA7D" w14:textId="77777777" w:rsidR="000B1A81" w:rsidRDefault="000B1A81" w:rsidP="000B1A8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B288D74" w14:textId="77777777" w:rsidR="000B1A81" w:rsidRPr="000B1A81" w:rsidRDefault="000B1A81" w:rsidP="000B1A8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B975C39" w14:textId="77777777" w:rsidR="000B1A81" w:rsidRDefault="006A5135" w:rsidP="000B1A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513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B1A81">
        <w:rPr>
          <w:rFonts w:ascii="Times New Roman" w:hAnsi="Times New Roman" w:cs="Times New Roman"/>
          <w:b/>
          <w:sz w:val="36"/>
          <w:szCs w:val="36"/>
          <w:u w:val="single"/>
        </w:rPr>
        <w:t>Перечень совершенных акционерным обществом в отчетном году сделок, признаваемых в соответствии с ФЗ «Об акционерных обществах» крупными сделками.</w:t>
      </w:r>
    </w:p>
    <w:p w14:paraId="44286CC5" w14:textId="155D4FC1" w:rsidR="000B1A81" w:rsidRPr="000B1A81" w:rsidRDefault="000B1A81" w:rsidP="000B1A81">
      <w:pPr>
        <w:jc w:val="both"/>
        <w:rPr>
          <w:rFonts w:ascii="Times New Roman" w:hAnsi="Times New Roman" w:cs="Times New Roman"/>
          <w:sz w:val="36"/>
          <w:szCs w:val="36"/>
        </w:rPr>
      </w:pPr>
      <w:r w:rsidRPr="000B1A81">
        <w:rPr>
          <w:rFonts w:ascii="Times New Roman" w:hAnsi="Times New Roman" w:cs="Times New Roman"/>
          <w:sz w:val="36"/>
          <w:szCs w:val="36"/>
        </w:rPr>
        <w:t>Крупных сделок</w:t>
      </w:r>
      <w:r>
        <w:rPr>
          <w:rFonts w:ascii="Times New Roman" w:hAnsi="Times New Roman" w:cs="Times New Roman"/>
          <w:sz w:val="36"/>
          <w:szCs w:val="36"/>
        </w:rPr>
        <w:t xml:space="preserve">, к которым в соответствии со статьей 78 ФЗ «Об акционерных обществах» относятся сделки или несколько взаимосвязанных сделок, связанных с приобретением или отчуждением Обществом имущества, стоимость которого составляет 25 и более процентов балансовой стоимости активов Общества, в 2014 году не было. </w:t>
      </w:r>
    </w:p>
    <w:p w14:paraId="5DE18F57" w14:textId="77777777" w:rsidR="000B1A81" w:rsidRDefault="000B1A81" w:rsidP="000B1A8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144EB47" w14:textId="77777777" w:rsidR="000B1A81" w:rsidRDefault="000B1A81" w:rsidP="000B1A8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7EC88B9" w14:textId="48B9B4D3" w:rsidR="006A5135" w:rsidRPr="000B1A81" w:rsidRDefault="006A5135" w:rsidP="000B1A8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1A8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492CDA69" w14:textId="156FC35C" w:rsidR="00E04B67" w:rsidRDefault="00E04B67" w:rsidP="00E04B6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E04B67">
        <w:rPr>
          <w:rFonts w:ascii="Times New Roman" w:hAnsi="Times New Roman" w:cs="Times New Roman"/>
          <w:b/>
          <w:sz w:val="36"/>
          <w:szCs w:val="36"/>
        </w:rPr>
        <w:t xml:space="preserve">Перечень совершенных акционерным обществом в отчетном году сделок, признаваемых в соответствии с ФЗ «Об акционерных </w:t>
      </w:r>
      <w:r w:rsidR="003C65C0" w:rsidRPr="00E04B67">
        <w:rPr>
          <w:rFonts w:ascii="Times New Roman" w:hAnsi="Times New Roman" w:cs="Times New Roman"/>
          <w:b/>
          <w:sz w:val="36"/>
          <w:szCs w:val="36"/>
        </w:rPr>
        <w:t>обществах» сделками</w:t>
      </w:r>
      <w:r w:rsidRPr="00E04B67">
        <w:rPr>
          <w:rFonts w:ascii="Times New Roman" w:hAnsi="Times New Roman" w:cs="Times New Roman"/>
          <w:b/>
          <w:sz w:val="36"/>
          <w:szCs w:val="36"/>
        </w:rPr>
        <w:t>, в совершении которых имелась заинтересованность.</w:t>
      </w:r>
    </w:p>
    <w:p w14:paraId="09DAEDDB" w14:textId="77777777" w:rsidR="00E04B67" w:rsidRDefault="00E04B67" w:rsidP="00E04B6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14:paraId="51E4B280" w14:textId="24BA2368" w:rsidR="00E04B67" w:rsidRDefault="00E04B67" w:rsidP="00E04B67">
      <w:pPr>
        <w:ind w:left="360"/>
        <w:rPr>
          <w:rFonts w:ascii="Times New Roman" w:hAnsi="Times New Roman" w:cs="Times New Roman"/>
          <w:sz w:val="32"/>
          <w:szCs w:val="32"/>
        </w:rPr>
      </w:pPr>
      <w:r w:rsidRPr="00E04B67">
        <w:rPr>
          <w:rFonts w:ascii="Times New Roman" w:hAnsi="Times New Roman" w:cs="Times New Roman"/>
          <w:sz w:val="32"/>
          <w:szCs w:val="32"/>
        </w:rPr>
        <w:t>Сделок,</w:t>
      </w:r>
      <w:r w:rsidRPr="00E04B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4B67">
        <w:rPr>
          <w:rFonts w:ascii="Times New Roman" w:hAnsi="Times New Roman" w:cs="Times New Roman"/>
          <w:sz w:val="32"/>
          <w:szCs w:val="32"/>
        </w:rPr>
        <w:t xml:space="preserve">признаваемых в соответствии с ФЗ «Об акционерных </w:t>
      </w:r>
      <w:r w:rsidR="003C65C0" w:rsidRPr="00E04B67">
        <w:rPr>
          <w:rFonts w:ascii="Times New Roman" w:hAnsi="Times New Roman" w:cs="Times New Roman"/>
          <w:sz w:val="32"/>
          <w:szCs w:val="32"/>
        </w:rPr>
        <w:t>обществах» сделками</w:t>
      </w:r>
      <w:r w:rsidRPr="00E04B67">
        <w:rPr>
          <w:rFonts w:ascii="Times New Roman" w:hAnsi="Times New Roman" w:cs="Times New Roman"/>
          <w:sz w:val="32"/>
          <w:szCs w:val="32"/>
        </w:rPr>
        <w:t>, в совершении которых имелась заинтересованность в 2014 году в Обществе не было.</w:t>
      </w:r>
    </w:p>
    <w:p w14:paraId="7B560552" w14:textId="77777777" w:rsidR="00E04B67" w:rsidRDefault="00E04B67" w:rsidP="00E04B67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2206EA15" w14:textId="2BBBEC38" w:rsidR="00FC2A31" w:rsidRDefault="00E04B67" w:rsidP="00FC2A3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4B67">
        <w:rPr>
          <w:rFonts w:ascii="Times New Roman" w:hAnsi="Times New Roman" w:cs="Times New Roman"/>
          <w:b/>
          <w:sz w:val="36"/>
          <w:szCs w:val="36"/>
          <w:u w:val="single"/>
        </w:rPr>
        <w:t xml:space="preserve">Состав Совета директоров акционерного общества. </w:t>
      </w:r>
    </w:p>
    <w:p w14:paraId="3DCE2C5F" w14:textId="77777777" w:rsidR="00FF1DE3" w:rsidRDefault="00FF1DE3" w:rsidP="00FF1DE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F0FD58E" w14:textId="77777777" w:rsidR="00FF1DE3" w:rsidRDefault="00FF1DE3" w:rsidP="00FF1DE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6BC30F1" w14:textId="77777777" w:rsidR="00FC2A31" w:rsidRDefault="00FC2A31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AE8C41" w14:textId="77777777" w:rsidR="00FC2A31" w:rsidRDefault="00FC2A31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1093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106"/>
        <w:gridCol w:w="1134"/>
        <w:gridCol w:w="3402"/>
        <w:gridCol w:w="3402"/>
      </w:tblGrid>
      <w:tr w:rsidR="00FB5494" w14:paraId="51B8EECC" w14:textId="54D9FE30" w:rsidTr="002B31D3">
        <w:trPr>
          <w:trHeight w:val="605"/>
        </w:trPr>
        <w:tc>
          <w:tcPr>
            <w:tcW w:w="895" w:type="dxa"/>
            <w:tcBorders>
              <w:bottom w:val="single" w:sz="4" w:space="0" w:color="auto"/>
            </w:tcBorders>
          </w:tcPr>
          <w:p w14:paraId="57439BB3" w14:textId="57B8FDAA" w:rsidR="00FC2A31" w:rsidRDefault="00FF1DE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№</w:t>
            </w:r>
          </w:p>
          <w:p w14:paraId="4E5C9B26" w14:textId="6EE84237" w:rsidR="00FF1DE3" w:rsidRDefault="00FF1DE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/п</w:t>
            </w:r>
          </w:p>
        </w:tc>
        <w:tc>
          <w:tcPr>
            <w:tcW w:w="2106" w:type="dxa"/>
            <w:shd w:val="clear" w:color="auto" w:fill="auto"/>
          </w:tcPr>
          <w:p w14:paraId="71D8FA6A" w14:textId="5F41218E" w:rsidR="00FC2A31" w:rsidRDefault="00FF1DE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Фамилия, имя, отчество</w:t>
            </w:r>
          </w:p>
        </w:tc>
        <w:tc>
          <w:tcPr>
            <w:tcW w:w="1134" w:type="dxa"/>
            <w:shd w:val="clear" w:color="auto" w:fill="auto"/>
          </w:tcPr>
          <w:p w14:paraId="5AF03E44" w14:textId="60B11BE0" w:rsidR="00FC2A31" w:rsidRDefault="00FF1DE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Год рождения</w:t>
            </w:r>
          </w:p>
        </w:tc>
        <w:tc>
          <w:tcPr>
            <w:tcW w:w="3402" w:type="dxa"/>
            <w:shd w:val="clear" w:color="auto" w:fill="auto"/>
          </w:tcPr>
          <w:p w14:paraId="656CDEEB" w14:textId="058751AC" w:rsidR="00FC2A31" w:rsidRDefault="00FF1DE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Место работы, занимаемая должность</w:t>
            </w:r>
          </w:p>
        </w:tc>
        <w:tc>
          <w:tcPr>
            <w:tcW w:w="3402" w:type="dxa"/>
            <w:shd w:val="clear" w:color="auto" w:fill="auto"/>
          </w:tcPr>
          <w:p w14:paraId="3354D92D" w14:textId="77777777" w:rsidR="00FC2A31" w:rsidRDefault="00FF1DE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Доля в уставном капитале</w:t>
            </w:r>
          </w:p>
          <w:p w14:paraId="55005CE0" w14:textId="2EEF6624" w:rsidR="00FF1DE3" w:rsidRDefault="00FF1DE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%</w:t>
            </w:r>
          </w:p>
        </w:tc>
      </w:tr>
      <w:tr w:rsidR="002B31D3" w14:paraId="3695BE1F" w14:textId="77777777" w:rsidTr="002B31D3">
        <w:trPr>
          <w:trHeight w:val="1118"/>
        </w:trPr>
        <w:tc>
          <w:tcPr>
            <w:tcW w:w="895" w:type="dxa"/>
          </w:tcPr>
          <w:p w14:paraId="053418B3" w14:textId="312E4919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14:paraId="3AA443F9" w14:textId="57B70BA3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Хажуев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В.Ш.</w:t>
            </w:r>
          </w:p>
        </w:tc>
        <w:tc>
          <w:tcPr>
            <w:tcW w:w="1134" w:type="dxa"/>
            <w:shd w:val="clear" w:color="auto" w:fill="auto"/>
          </w:tcPr>
          <w:p w14:paraId="4AD08318" w14:textId="50D98EC1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1938</w:t>
            </w:r>
          </w:p>
        </w:tc>
        <w:tc>
          <w:tcPr>
            <w:tcW w:w="3402" w:type="dxa"/>
            <w:shd w:val="clear" w:color="auto" w:fill="auto"/>
          </w:tcPr>
          <w:p w14:paraId="2E2B9438" w14:textId="77777777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Терекалмаз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»,</w:t>
            </w:r>
          </w:p>
          <w:p w14:paraId="3C420F2E" w14:textId="35F82A15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Председатель Совета директоров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D4D1AEC" w14:textId="0C7344EB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25,0</w:t>
            </w:r>
          </w:p>
        </w:tc>
      </w:tr>
      <w:tr w:rsidR="002B31D3" w14:paraId="44194FDE" w14:textId="77777777" w:rsidTr="002B31D3">
        <w:trPr>
          <w:trHeight w:val="1485"/>
        </w:trPr>
        <w:tc>
          <w:tcPr>
            <w:tcW w:w="895" w:type="dxa"/>
            <w:tcBorders>
              <w:top w:val="single" w:sz="4" w:space="0" w:color="auto"/>
            </w:tcBorders>
          </w:tcPr>
          <w:p w14:paraId="30A2BBC2" w14:textId="3D27A451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6E09D625" w14:textId="34D79310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Тлеужев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692D06" w14:textId="4D31AC45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213B6CC" w14:textId="77777777" w:rsidR="002B31D3" w:rsidRDefault="002B31D3" w:rsidP="00FF1DE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Терекалмаз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»,</w:t>
            </w:r>
          </w:p>
          <w:p w14:paraId="7FF10216" w14:textId="49587412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0E10" w14:textId="6169A6B7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21,9</w:t>
            </w:r>
          </w:p>
        </w:tc>
      </w:tr>
      <w:tr w:rsidR="002B31D3" w14:paraId="421BAA7A" w14:textId="77777777" w:rsidTr="002B31D3">
        <w:trPr>
          <w:trHeight w:val="1503"/>
        </w:trPr>
        <w:tc>
          <w:tcPr>
            <w:tcW w:w="895" w:type="dxa"/>
            <w:tcBorders>
              <w:top w:val="single" w:sz="4" w:space="0" w:color="auto"/>
            </w:tcBorders>
          </w:tcPr>
          <w:p w14:paraId="66FE63D7" w14:textId="2D2D9299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484919BA" w14:textId="485DC26F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Демьянов С.В.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6CE09E" w14:textId="4FF907C5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1961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A067A12" w14:textId="77777777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Генеральный директор,</w:t>
            </w:r>
          </w:p>
          <w:p w14:paraId="66F1E463" w14:textId="549DF7C6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Юниделл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г.Москва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3A5BF" w14:textId="25BEC912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Доли не имеет</w:t>
            </w:r>
          </w:p>
        </w:tc>
      </w:tr>
      <w:tr w:rsidR="002B31D3" w14:paraId="4A03E113" w14:textId="77777777" w:rsidTr="002B31D3">
        <w:trPr>
          <w:trHeight w:val="1191"/>
        </w:trPr>
        <w:tc>
          <w:tcPr>
            <w:tcW w:w="895" w:type="dxa"/>
            <w:tcBorders>
              <w:top w:val="single" w:sz="4" w:space="0" w:color="auto"/>
            </w:tcBorders>
          </w:tcPr>
          <w:p w14:paraId="2DE66ED9" w14:textId="23348385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4.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7C374B27" w14:textId="2F2162B4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Гедгагов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М.К.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04B0C94" w14:textId="04E41AC2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1959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2E7BE3" w14:textId="504BFF77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Директор по производству и маркетингу цеха бурового инструмента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35928" w14:textId="3DE334CE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0,9</w:t>
            </w:r>
          </w:p>
        </w:tc>
      </w:tr>
      <w:tr w:rsidR="002B31D3" w14:paraId="26E7154F" w14:textId="77777777" w:rsidTr="002B31D3">
        <w:trPr>
          <w:trHeight w:val="1099"/>
        </w:trPr>
        <w:tc>
          <w:tcPr>
            <w:tcW w:w="895" w:type="dxa"/>
            <w:tcBorders>
              <w:top w:val="single" w:sz="4" w:space="0" w:color="auto"/>
            </w:tcBorders>
          </w:tcPr>
          <w:p w14:paraId="7C6EDA78" w14:textId="506DA2BE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43C03956" w14:textId="1909400C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Добагова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С.Х.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647FDE" w14:textId="12EACADA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1953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A8A4981" w14:textId="4376A50D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Терекалмаз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», Заместитель генерального директора по управлению персоналом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2BC3E" w14:textId="1787BC22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Доли не имеет</w:t>
            </w:r>
          </w:p>
        </w:tc>
      </w:tr>
      <w:tr w:rsidR="002B31D3" w14:paraId="2DA9226D" w14:textId="77777777" w:rsidTr="002B31D3">
        <w:trPr>
          <w:trHeight w:val="1026"/>
        </w:trPr>
        <w:tc>
          <w:tcPr>
            <w:tcW w:w="895" w:type="dxa"/>
            <w:tcBorders>
              <w:top w:val="single" w:sz="4" w:space="0" w:color="auto"/>
            </w:tcBorders>
          </w:tcPr>
          <w:p w14:paraId="2B198456" w14:textId="4D493067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6.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0CF6919D" w14:textId="0BD2C746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Кушхабиев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3CFA9E" w14:textId="30337277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1949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0675D49" w14:textId="785EC7CE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Терекалмаз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», Заместитель генерального директора по техническому развитию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283D9" w14:textId="7EA9D1A7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0,01</w:t>
            </w:r>
          </w:p>
        </w:tc>
      </w:tr>
      <w:tr w:rsidR="002B31D3" w14:paraId="6786EA0F" w14:textId="77777777" w:rsidTr="002B31D3">
        <w:trPr>
          <w:trHeight w:val="1777"/>
        </w:trPr>
        <w:tc>
          <w:tcPr>
            <w:tcW w:w="895" w:type="dxa"/>
            <w:tcBorders>
              <w:top w:val="single" w:sz="4" w:space="0" w:color="auto"/>
            </w:tcBorders>
          </w:tcPr>
          <w:p w14:paraId="71A35FE5" w14:textId="53DCE1E3" w:rsidR="002B31D3" w:rsidRDefault="002B31D3" w:rsidP="00FC2A31">
            <w:pPr>
              <w:ind w:left="24"/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7.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</w:tcPr>
          <w:p w14:paraId="23A2BD9E" w14:textId="5BD2A2CC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Тлеужев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511FC1" w14:textId="3ABC4413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1971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D34A24F" w14:textId="61236CC9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Терекалмаз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»,</w:t>
            </w:r>
          </w:p>
          <w:p w14:paraId="043C024A" w14:textId="2E5926DC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Первый Заместитель генерального директора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075D3" w14:textId="27114B30" w:rsidR="002B31D3" w:rsidRDefault="002B31D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0,07</w:t>
            </w:r>
          </w:p>
        </w:tc>
      </w:tr>
    </w:tbl>
    <w:tbl>
      <w:tblPr>
        <w:tblpPr w:leftFromText="180" w:rightFromText="180" w:vertAnchor="text" w:tblpX="12797" w:tblpY="-1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</w:tblGrid>
      <w:tr w:rsidR="00FF1DE3" w14:paraId="4CCC3351" w14:textId="77777777" w:rsidTr="00FF1DE3">
        <w:tc>
          <w:tcPr>
            <w:tcW w:w="1549" w:type="dxa"/>
          </w:tcPr>
          <w:p w14:paraId="6C106A55" w14:textId="77777777" w:rsidR="00FF1DE3" w:rsidRDefault="00FF1DE3" w:rsidP="00FF1DE3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</w:tbl>
    <w:p w14:paraId="7A10B63C" w14:textId="244657F7" w:rsidR="00FC2A31" w:rsidRDefault="00FC2A31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EF8878B" w14:textId="45020899" w:rsidR="00FC2A31" w:rsidRDefault="00FC2A31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0C7A7E5" w14:textId="77777777" w:rsidR="00C20650" w:rsidRDefault="00C20650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88F5CC9" w14:textId="290A5B22" w:rsidR="00C20650" w:rsidRDefault="00C20650" w:rsidP="00C2065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Сведения о лице, занимающем должность единоличного исполнительного органа </w:t>
      </w:r>
      <w:proofErr w:type="spellStart"/>
      <w:r w:rsidRPr="00E36668">
        <w:rPr>
          <w:rFonts w:ascii="Times New Roman" w:hAnsi="Times New Roman" w:cs="Times New Roman"/>
          <w:b/>
          <w:sz w:val="36"/>
          <w:szCs w:val="36"/>
          <w:u w:val="single"/>
        </w:rPr>
        <w:t>акционерн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общества</w:t>
      </w:r>
    </w:p>
    <w:p w14:paraId="6680D641" w14:textId="04DAA2CD" w:rsidR="00C20650" w:rsidRPr="00040CB8" w:rsidRDefault="00C20650" w:rsidP="00040CB8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Компетенция единоличного исполнительного органа Генерального директора</w:t>
      </w:r>
      <w:r w:rsidRPr="00040CB8">
        <w:rPr>
          <w:rFonts w:ascii="Times New Roman" w:hAnsi="Times New Roman" w:cs="Times New Roman"/>
          <w:b/>
          <w:sz w:val="36"/>
          <w:szCs w:val="36"/>
          <w:u w:val="single"/>
        </w:rPr>
        <w:t xml:space="preserve"> в соответствии с Уставом:</w:t>
      </w:r>
    </w:p>
    <w:p w14:paraId="6AC48E75" w14:textId="77777777" w:rsidR="00C20650" w:rsidRDefault="00C20650" w:rsidP="00C20650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D5CFCBF" w14:textId="3CF775D5" w:rsidR="00C20650" w:rsidRDefault="00C20650" w:rsidP="00C2065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20650">
        <w:rPr>
          <w:rFonts w:ascii="Times New Roman" w:hAnsi="Times New Roman" w:cs="Times New Roman"/>
          <w:sz w:val="32"/>
          <w:szCs w:val="32"/>
        </w:rPr>
        <w:t>К компетенции Генерального директора Общества отно</w:t>
      </w:r>
      <w:r>
        <w:rPr>
          <w:rFonts w:ascii="Times New Roman" w:hAnsi="Times New Roman" w:cs="Times New Roman"/>
          <w:sz w:val="32"/>
          <w:szCs w:val="32"/>
        </w:rPr>
        <w:t>сятся</w:t>
      </w:r>
      <w:r w:rsidR="00040CB8">
        <w:rPr>
          <w:rFonts w:ascii="Times New Roman" w:hAnsi="Times New Roman" w:cs="Times New Roman"/>
          <w:sz w:val="32"/>
          <w:szCs w:val="32"/>
        </w:rPr>
        <w:t xml:space="preserve">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</w:p>
    <w:p w14:paraId="3910851C" w14:textId="6DD4D947" w:rsidR="00040CB8" w:rsidRDefault="00040CB8" w:rsidP="00C2065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Выборы Генерального директора осуществляет общее собрание акционеров.</w:t>
      </w:r>
    </w:p>
    <w:p w14:paraId="2F47BAC5" w14:textId="694A1283" w:rsidR="00040CB8" w:rsidRPr="00C20650" w:rsidRDefault="00040CB8" w:rsidP="00C2065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Лицо, исполняющее функции единоличного исполнительного органа Общества – Генеральный директор ОАО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Терекалмаз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Тлеужев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Адальби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Билелович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4F74C6BF" w14:textId="77777777" w:rsidR="00FC2A31" w:rsidRPr="00C20650" w:rsidRDefault="00FC2A31" w:rsidP="00D8731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A24EF1" w14:textId="6DC1E130" w:rsidR="00E36668" w:rsidRDefault="00E36668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3666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13. Сведения о соблюдении акционерн</w:t>
      </w:r>
      <w:r w:rsidR="007F7DF6">
        <w:rPr>
          <w:rFonts w:ascii="Times New Roman" w:hAnsi="Times New Roman" w:cs="Times New Roman"/>
          <w:b/>
          <w:sz w:val="36"/>
          <w:szCs w:val="36"/>
          <w:u w:val="single"/>
        </w:rPr>
        <w:t>ым обществом рекомендаций Кодекса</w:t>
      </w:r>
      <w:r w:rsidRPr="00E36668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корпоративного поведения.</w:t>
      </w:r>
    </w:p>
    <w:p w14:paraId="7534721A" w14:textId="77777777" w:rsidR="00BE4237" w:rsidRDefault="00BE4237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80A562A" w14:textId="0D4CF60D" w:rsidR="00BE4237" w:rsidRDefault="002B78F0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2B78F0">
        <w:rPr>
          <w:rFonts w:ascii="Times New Roman" w:hAnsi="Times New Roman" w:cs="Times New Roman"/>
          <w:sz w:val="28"/>
          <w:szCs w:val="28"/>
        </w:rPr>
        <w:t xml:space="preserve">В акционерном обществе </w:t>
      </w:r>
      <w:r>
        <w:rPr>
          <w:rFonts w:ascii="Times New Roman" w:hAnsi="Times New Roman" w:cs="Times New Roman"/>
          <w:sz w:val="28"/>
          <w:szCs w:val="28"/>
        </w:rPr>
        <w:t>действует Кодекс корпоративного поведения, регламентирующий поведение работников в стандартных ситуациях внутри Общества и другими участниками рынка. Соблюдение основных положений Кодекса является</w:t>
      </w:r>
      <w:r w:rsidR="00035053">
        <w:rPr>
          <w:rFonts w:ascii="Times New Roman" w:hAnsi="Times New Roman" w:cs="Times New Roman"/>
          <w:sz w:val="28"/>
          <w:szCs w:val="28"/>
        </w:rPr>
        <w:t xml:space="preserve"> частью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корпоративной этики работников </w:t>
      </w:r>
      <w:r w:rsidR="00035053">
        <w:rPr>
          <w:rFonts w:ascii="Times New Roman" w:hAnsi="Times New Roman" w:cs="Times New Roman"/>
          <w:sz w:val="28"/>
          <w:szCs w:val="28"/>
        </w:rPr>
        <w:t xml:space="preserve">и дополнительной гарантией, свидетельством и залогом высокого профессионализма и стабильности Общества. </w:t>
      </w:r>
      <w:r w:rsidR="0042032F">
        <w:rPr>
          <w:rFonts w:ascii="Times New Roman" w:hAnsi="Times New Roman" w:cs="Times New Roman"/>
          <w:sz w:val="28"/>
          <w:szCs w:val="28"/>
        </w:rPr>
        <w:t xml:space="preserve">Общество соблюдает в равной степени прав всех акционеров путем обеспечения им возможности свободного распоряжения принадлежащими акциями, обеспечения права на регулярное </w:t>
      </w:r>
      <w:r w:rsidR="004342D3">
        <w:rPr>
          <w:rFonts w:ascii="Times New Roman" w:hAnsi="Times New Roman" w:cs="Times New Roman"/>
          <w:sz w:val="28"/>
          <w:szCs w:val="28"/>
        </w:rPr>
        <w:t>и своевременное получение достоверной информации об Обществе, обеспечения беспрепятственного</w:t>
      </w:r>
      <w:r w:rsidR="00035053">
        <w:rPr>
          <w:rFonts w:ascii="Times New Roman" w:hAnsi="Times New Roman" w:cs="Times New Roman"/>
          <w:sz w:val="28"/>
          <w:szCs w:val="28"/>
        </w:rPr>
        <w:t xml:space="preserve"> </w:t>
      </w:r>
      <w:r w:rsidR="004342D3">
        <w:rPr>
          <w:rFonts w:ascii="Times New Roman" w:hAnsi="Times New Roman" w:cs="Times New Roman"/>
          <w:sz w:val="28"/>
          <w:szCs w:val="28"/>
        </w:rPr>
        <w:t xml:space="preserve">участия в управлении Обществом принятием решений по наиболее важным вопросам деятельности Общества на общем собрании акционеров. Органы управления Общества (Совет директоров и Генеральный директор) осуществляют свою деятельность с соблюдением требований законодательства и в интересах всего Общества. Генеральный директор следует решениям Совета директоров и проводимой им политике. Органы управления предоставляют друг другу </w:t>
      </w:r>
      <w:proofErr w:type="gramStart"/>
      <w:r w:rsidR="004342D3">
        <w:rPr>
          <w:rFonts w:ascii="Times New Roman" w:hAnsi="Times New Roman" w:cs="Times New Roman"/>
          <w:sz w:val="28"/>
          <w:szCs w:val="28"/>
        </w:rPr>
        <w:t>полную  и</w:t>
      </w:r>
      <w:proofErr w:type="gramEnd"/>
      <w:r w:rsidR="004342D3">
        <w:rPr>
          <w:rFonts w:ascii="Times New Roman" w:hAnsi="Times New Roman" w:cs="Times New Roman"/>
          <w:sz w:val="28"/>
          <w:szCs w:val="28"/>
        </w:rPr>
        <w:t xml:space="preserve"> точную информацию о деятельности и финансовом положении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D3">
        <w:rPr>
          <w:rFonts w:ascii="Times New Roman" w:hAnsi="Times New Roman" w:cs="Times New Roman"/>
          <w:sz w:val="28"/>
          <w:szCs w:val="28"/>
        </w:rPr>
        <w:t xml:space="preserve">Общество соблюдает требования действующего законодательства о порядке раскрытия информации и осуществления </w:t>
      </w:r>
      <w:r w:rsidR="005C75D0">
        <w:rPr>
          <w:rFonts w:ascii="Times New Roman" w:hAnsi="Times New Roman" w:cs="Times New Roman"/>
          <w:sz w:val="28"/>
          <w:szCs w:val="28"/>
        </w:rPr>
        <w:t>контроля за финансово-хозяйственной деятельностью: все заинтересованные лица могут ознакомиться в установленном законом порядке с документами, предоставляемыми в соответствии с требованиями ФЗ «Об акционерных обществах». Проводится аудиторская проверка финансово-хозяйственной деятельности Общества независимым внешним аудитором.</w:t>
      </w:r>
    </w:p>
    <w:p w14:paraId="3651C18E" w14:textId="77777777" w:rsidR="005C75D0" w:rsidRDefault="005C75D0" w:rsidP="00D87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8809AB" w14:textId="17BE99A7" w:rsidR="005C75D0" w:rsidRPr="005C75D0" w:rsidRDefault="005C75D0" w:rsidP="005C75D0">
      <w:pPr>
        <w:ind w:left="36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14.</w:t>
      </w:r>
      <w:r w:rsidRPr="005C75D0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Иная информация, предусмотренная Уставом акционерного общества или иным внутренним документом Общества.</w:t>
      </w:r>
    </w:p>
    <w:p w14:paraId="450D9E55" w14:textId="77777777" w:rsidR="00996597" w:rsidRPr="005C75D0" w:rsidRDefault="00996597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67FEF02" w14:textId="1948ABA5" w:rsidR="00996597" w:rsidRPr="005C75D0" w:rsidRDefault="005C75D0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 w:rsidRPr="005C75D0">
        <w:rPr>
          <w:rFonts w:ascii="Times New Roman" w:hAnsi="Times New Roman" w:cs="Times New Roman"/>
          <w:sz w:val="28"/>
          <w:szCs w:val="28"/>
        </w:rPr>
        <w:t>Иная информация</w:t>
      </w:r>
      <w:r>
        <w:rPr>
          <w:rFonts w:ascii="Times New Roman" w:hAnsi="Times New Roman" w:cs="Times New Roman"/>
          <w:sz w:val="28"/>
          <w:szCs w:val="28"/>
        </w:rPr>
        <w:t>, подлежащая включению в годовой отчет о деятельности Общества, Уставом Общества и иными внутренними документами не предусмотрена.</w:t>
      </w:r>
    </w:p>
    <w:p w14:paraId="6500E82E" w14:textId="77777777" w:rsidR="00996597" w:rsidRPr="005C75D0" w:rsidRDefault="00996597" w:rsidP="00D8731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ED81F59" w14:textId="77777777" w:rsidR="00996597" w:rsidRPr="00D8731D" w:rsidRDefault="00996597" w:rsidP="00D873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79616" w14:textId="5C0AD5B7" w:rsidR="00D8731D" w:rsidRPr="00D8731D" w:rsidRDefault="00E36668" w:rsidP="00D87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5B478" w14:textId="77777777" w:rsidR="007C592D" w:rsidRPr="00D8731D" w:rsidRDefault="007C592D" w:rsidP="00D8731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C592D" w:rsidRPr="00D8731D" w:rsidSect="002B31D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20B2"/>
    <w:multiLevelType w:val="hybridMultilevel"/>
    <w:tmpl w:val="1D10441A"/>
    <w:lvl w:ilvl="0" w:tplc="E6108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7212"/>
    <w:multiLevelType w:val="hybridMultilevel"/>
    <w:tmpl w:val="1D10441A"/>
    <w:lvl w:ilvl="0" w:tplc="E6108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9B9"/>
    <w:multiLevelType w:val="hybridMultilevel"/>
    <w:tmpl w:val="E632BA2C"/>
    <w:lvl w:ilvl="0" w:tplc="0D828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52C"/>
    <w:multiLevelType w:val="hybridMultilevel"/>
    <w:tmpl w:val="E66A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9C1"/>
    <w:multiLevelType w:val="hybridMultilevel"/>
    <w:tmpl w:val="971235F8"/>
    <w:lvl w:ilvl="0" w:tplc="9B128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2D"/>
    <w:rsid w:val="00023012"/>
    <w:rsid w:val="00035053"/>
    <w:rsid w:val="00040CB8"/>
    <w:rsid w:val="000B1A81"/>
    <w:rsid w:val="00105BD5"/>
    <w:rsid w:val="002B31D3"/>
    <w:rsid w:val="002B78F0"/>
    <w:rsid w:val="0039251F"/>
    <w:rsid w:val="003C65C0"/>
    <w:rsid w:val="0042032F"/>
    <w:rsid w:val="004342D3"/>
    <w:rsid w:val="004A5755"/>
    <w:rsid w:val="004F0350"/>
    <w:rsid w:val="0054218A"/>
    <w:rsid w:val="005C75D0"/>
    <w:rsid w:val="006A5135"/>
    <w:rsid w:val="007C592D"/>
    <w:rsid w:val="007F7DF6"/>
    <w:rsid w:val="00810B32"/>
    <w:rsid w:val="008E4071"/>
    <w:rsid w:val="00996597"/>
    <w:rsid w:val="009A7654"/>
    <w:rsid w:val="009C2A36"/>
    <w:rsid w:val="009D65CE"/>
    <w:rsid w:val="00A06A2F"/>
    <w:rsid w:val="00A36F86"/>
    <w:rsid w:val="00BE4237"/>
    <w:rsid w:val="00C20650"/>
    <w:rsid w:val="00CF3861"/>
    <w:rsid w:val="00D17BFD"/>
    <w:rsid w:val="00D62E39"/>
    <w:rsid w:val="00D63CB4"/>
    <w:rsid w:val="00D8731D"/>
    <w:rsid w:val="00D966D8"/>
    <w:rsid w:val="00E04B67"/>
    <w:rsid w:val="00E36668"/>
    <w:rsid w:val="00FB5494"/>
    <w:rsid w:val="00FC2A31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C4BE"/>
  <w15:chartTrackingRefBased/>
  <w15:docId w15:val="{C3581AC5-D8EB-4024-8526-A340D09A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3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6A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36F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6F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6F8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6F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F8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230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semiHidden/>
    <w:unhideWhenUsed/>
    <w:rsid w:val="0039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terekalm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erekalmaz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51832460732987E-2"/>
          <c:y val="6.3492063492063489E-2"/>
          <c:w val="0.53141361256544506"/>
          <c:h val="0.805555555555555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отечественные производители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Sheet1!$B$1:$C$1</c:f>
              <c:strCache>
                <c:ptCount val="2"/>
                <c:pt idx="0">
                  <c:v>отечественные производители</c:v>
                </c:pt>
                <c:pt idx="1">
                  <c:v>импортные производители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53926701570676"/>
          <c:y val="0.33730158730158732"/>
          <c:w val="0.32460732984293195"/>
          <c:h val="0.4206349206349206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42396313364056"/>
          <c:y val="0.13718411552346571"/>
          <c:w val="0.49078341013824883"/>
          <c:h val="0.768953068592057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терекалмаз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2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95691329778198"/>
                  <c:y val="-6.0321345100859403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648315865486322E-2"/>
                  <c:y val="-0.1605635396658450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0667589829388144E-2"/>
                  <c:y val="-0.155030157199356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29032258064516"/>
                  <c:y val="-5.104020886180282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9531180006160942E-2"/>
                  <c:y val="5.7574233175946843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Sheet1!$B$1:$H$1</c:f>
              <c:strCache>
                <c:ptCount val="7"/>
                <c:pt idx="0">
                  <c:v>FORDIA</c:v>
                </c:pt>
                <c:pt idx="1">
                  <c:v>BOART LONGYEAR</c:v>
                </c:pt>
                <c:pt idx="2">
                  <c:v>ATLAS COPCO</c:v>
                </c:pt>
                <c:pt idx="3">
                  <c:v>ТЕРЕКАЛМАЗ</c:v>
                </c:pt>
                <c:pt idx="4">
                  <c:v>HAYDEN</c:v>
                </c:pt>
                <c:pt idx="5">
                  <c:v>ЭЗТАБ</c:v>
                </c:pt>
                <c:pt idx="6">
                  <c:v>ПРОЧИЕ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40</c:v>
                </c:pt>
                <c:pt idx="1">
                  <c:v>15</c:v>
                </c:pt>
                <c:pt idx="2">
                  <c:v>10</c:v>
                </c:pt>
                <c:pt idx="3">
                  <c:v>15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FORDIA</c:v>
                </c:pt>
                <c:pt idx="1">
                  <c:v>BOART LONGYEAR</c:v>
                </c:pt>
                <c:pt idx="2">
                  <c:v>ATLAS COPCO</c:v>
                </c:pt>
                <c:pt idx="3">
                  <c:v>ТЕРЕКАЛМАЗ</c:v>
                </c:pt>
                <c:pt idx="4">
                  <c:v>HAYDEN</c:v>
                </c:pt>
                <c:pt idx="5">
                  <c:v>ЭЗТАБ</c:v>
                </c:pt>
                <c:pt idx="6">
                  <c:v>ПРОЧИЕ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50691244239635"/>
          <c:y val="5.0541516245487361E-2"/>
          <c:w val="0.32258064516129031"/>
          <c:h val="0.465703971119133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42569269521411"/>
          <c:y val="0.18928571428571428"/>
          <c:w val="0.46851385390428213"/>
          <c:h val="0.664285714285714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терекалмаз</c:v>
                </c:pt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18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690366127581569"/>
                  <c:y val="5.862540889285392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1718481554784348E-2"/>
                  <c:y val="-7.8534553870421298E-2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3152391172157976E-2"/>
                  <c:y val="-0.14224050010989997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1949824347175912E-2"/>
                  <c:y val="-0.10583800731805071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24685138539042822"/>
                  <c:y val="0.18928571428571428"/>
                </c:manualLayout>
              </c:layout>
              <c:numFmt formatCode="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47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Dr KAISER</c:v>
                </c:pt>
                <c:pt idx="1">
                  <c:v>Reishauer</c:v>
                </c:pt>
                <c:pt idx="2">
                  <c:v>Wend</c:v>
                </c:pt>
                <c:pt idx="3">
                  <c:v>ТЕРЕКАЛМАЗ</c:v>
                </c:pt>
                <c:pt idx="4">
                  <c:v>ПРОЧИЕ РОССИЙСКИЕ ПРОИЗВОДИТЕЛИ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15</c:v>
                </c:pt>
                <c:pt idx="2">
                  <c:v>10</c:v>
                </c:pt>
                <c:pt idx="3">
                  <c:v>20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Dr KAISER</c:v>
                </c:pt>
                <c:pt idx="1">
                  <c:v>Reishauer</c:v>
                </c:pt>
                <c:pt idx="2">
                  <c:v>Wend</c:v>
                </c:pt>
                <c:pt idx="3">
                  <c:v>ТЕРЕКАЛМАЗ</c:v>
                </c:pt>
                <c:pt idx="4">
                  <c:v>ПРОЧИЕ РОССИЙСКИЕ ПРОИЗВОДИТЕЛИ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6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727959697732994"/>
          <c:y val="2.1428571428571429E-2"/>
          <c:w val="0.3526448362720403"/>
          <c:h val="0.9785714285714285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91666666666666"/>
          <c:y val="0.11726384364820847"/>
          <c:w val="0.51875000000000004"/>
          <c:h val="0.8110749185667752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терекалмаз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15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2971354040867584E-2"/>
                  <c:y val="0.13923921759700403"/>
                </c:manualLayout>
              </c:layout>
              <c:numFmt formatCode="0%" sourceLinked="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999166706922425E-2"/>
                  <c:y val="8.9846094529236947E-2"/>
                </c:manualLayout>
              </c:layout>
              <c:numFmt formatCode="0%" sourceLinked="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930432104729239"/>
                  <c:y val="2.8214457964484463E-2"/>
                </c:manualLayout>
              </c:layout>
              <c:numFmt formatCode="0%" sourceLinked="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464918495617492"/>
                  <c:y val="-0.13287697231004703"/>
                </c:manualLayout>
              </c:layout>
              <c:numFmt formatCode="0%" sourceLinked="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numFmt formatCode="0%" sourceLinked="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4.0614718022210505E-3"/>
                  <c:y val="-3.0123066067948345E-2"/>
                </c:manualLayout>
              </c:layout>
              <c:numFmt formatCode="0%" sourceLinked="0"/>
              <c:spPr>
                <a:noFill/>
                <a:ln w="25349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Sheet1!$B$1:$L$1</c:f>
              <c:strCache>
                <c:ptCount val="11"/>
                <c:pt idx="0">
                  <c:v>Хилди</c:v>
                </c:pt>
                <c:pt idx="1">
                  <c:v>Адамас</c:v>
                </c:pt>
                <c:pt idx="2">
                  <c:v>Тиролит</c:v>
                </c:pt>
                <c:pt idx="3">
                  <c:v>Dr Shylts</c:v>
                </c:pt>
                <c:pt idx="4">
                  <c:v>Кимберлит</c:v>
                </c:pt>
                <c:pt idx="5">
                  <c:v>ООО "МКК-Диамант</c:v>
                </c:pt>
                <c:pt idx="6">
                  <c:v>ОАО "Алмазинструмент"</c:v>
                </c:pt>
                <c:pt idx="7">
                  <c:v>Адель</c:v>
                </c:pt>
                <c:pt idx="8">
                  <c:v>ООО "ДТМ"</c:v>
                </c:pt>
                <c:pt idx="9">
                  <c:v>ООО "Ниборит"</c:v>
                </c:pt>
                <c:pt idx="10">
                  <c:v>ОАО "Терекалмаз"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</c:v>
                </c:pt>
                <c:pt idx="1">
                  <c:v>5</c:v>
                </c:pt>
                <c:pt idx="2">
                  <c:v>15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  <c:pt idx="6">
                  <c:v>10</c:v>
                </c:pt>
                <c:pt idx="7">
                  <c:v>8</c:v>
                </c:pt>
                <c:pt idx="8">
                  <c:v>9</c:v>
                </c:pt>
                <c:pt idx="9">
                  <c:v>12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Хилди</c:v>
                </c:pt>
                <c:pt idx="1">
                  <c:v>Адамас</c:v>
                </c:pt>
                <c:pt idx="2">
                  <c:v>Тиролит</c:v>
                </c:pt>
                <c:pt idx="3">
                  <c:v>Dr Shylts</c:v>
                </c:pt>
                <c:pt idx="4">
                  <c:v>Кимберлит</c:v>
                </c:pt>
                <c:pt idx="5">
                  <c:v>ООО "МКК-Диамант</c:v>
                </c:pt>
                <c:pt idx="6">
                  <c:v>ОАО "Алмазинструмент"</c:v>
                </c:pt>
                <c:pt idx="7">
                  <c:v>Адель</c:v>
                </c:pt>
                <c:pt idx="8">
                  <c:v>ООО "ДТМ"</c:v>
                </c:pt>
                <c:pt idx="9">
                  <c:v>ООО "Ниборит"</c:v>
                </c:pt>
                <c:pt idx="10">
                  <c:v>ОАО "Терекалмаз"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416666666666672"/>
          <c:y val="6.5146579804560263E-3"/>
          <c:w val="0.29166666666666669"/>
          <c:h val="0.9934853420195439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1D72-1B53-4D81-9641-F6D1F24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2</cp:revision>
  <dcterms:created xsi:type="dcterms:W3CDTF">2015-06-01T10:05:00Z</dcterms:created>
  <dcterms:modified xsi:type="dcterms:W3CDTF">2015-06-01T10:05:00Z</dcterms:modified>
</cp:coreProperties>
</file>