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85" w:rsidRDefault="00A64A85">
      <w:pPr>
        <w:autoSpaceDE/>
        <w:autoSpaceDN/>
        <w:ind w:firstLine="5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Сообщение о существенном факте</w:t>
      </w:r>
    </w:p>
    <w:p w:rsidR="00A64A85" w:rsidRDefault="00A64A8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«О проведении общего собрания участников (акционеров) эмитента и о принятых им решениях</w:t>
      </w:r>
      <w:r>
        <w:rPr>
          <w:rStyle w:val="apple-converted-space"/>
          <w:rFonts w:cstheme="minorBidi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sz w:val="24"/>
          <w:szCs w:val="24"/>
        </w:rPr>
        <w:t>»</w:t>
      </w:r>
    </w:p>
    <w:tbl>
      <w:tblPr>
        <w:tblW w:w="997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415"/>
      </w:tblGrid>
      <w:tr w:rsidR="00A64A85">
        <w:trPr>
          <w:cantSplit/>
        </w:trPr>
        <w:tc>
          <w:tcPr>
            <w:tcW w:w="9979" w:type="dxa"/>
            <w:gridSpan w:val="2"/>
          </w:tcPr>
          <w:p w:rsidR="00A64A85" w:rsidRDefault="00A64A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A64A85">
        <w:tc>
          <w:tcPr>
            <w:tcW w:w="4564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15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«Самарский речной порт»</w:t>
            </w:r>
          </w:p>
        </w:tc>
      </w:tr>
      <w:tr w:rsidR="00A64A85">
        <w:tc>
          <w:tcPr>
            <w:tcW w:w="4564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15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«Порт Самара»</w:t>
            </w:r>
          </w:p>
        </w:tc>
      </w:tr>
      <w:tr w:rsidR="00A64A85">
        <w:tc>
          <w:tcPr>
            <w:tcW w:w="4564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15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443099, Самарская область, г. Самара, Стрелка рек Волги и Самары</w:t>
            </w:r>
          </w:p>
        </w:tc>
      </w:tr>
      <w:tr w:rsidR="00A64A85">
        <w:tc>
          <w:tcPr>
            <w:tcW w:w="4564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15" w:type="dxa"/>
          </w:tcPr>
          <w:p w:rsidR="00A64A85" w:rsidRDefault="00A64A8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1026301421134</w:t>
            </w:r>
          </w:p>
        </w:tc>
      </w:tr>
      <w:tr w:rsidR="00A64A85">
        <w:tc>
          <w:tcPr>
            <w:tcW w:w="4564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15" w:type="dxa"/>
          </w:tcPr>
          <w:p w:rsidR="00A64A85" w:rsidRDefault="00A64A8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6317023569</w:t>
            </w:r>
          </w:p>
        </w:tc>
      </w:tr>
      <w:tr w:rsidR="00A64A85">
        <w:tc>
          <w:tcPr>
            <w:tcW w:w="4564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15" w:type="dxa"/>
          </w:tcPr>
          <w:p w:rsidR="00A64A85" w:rsidRDefault="00A64A8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00417-Е</w:t>
            </w:r>
          </w:p>
        </w:tc>
      </w:tr>
      <w:tr w:rsidR="00A64A85">
        <w:tc>
          <w:tcPr>
            <w:tcW w:w="4564" w:type="dxa"/>
          </w:tcPr>
          <w:p w:rsidR="00A64A85" w:rsidRDefault="00A64A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15" w:type="dxa"/>
          </w:tcPr>
          <w:p w:rsidR="00A64A85" w:rsidRDefault="00A64A8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disclosure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issuer</w:t>
            </w:r>
            <w:r>
              <w:rPr>
                <w:sz w:val="24"/>
                <w:szCs w:val="24"/>
              </w:rPr>
              <w:t>/6317023569</w:t>
            </w:r>
          </w:p>
        </w:tc>
      </w:tr>
    </w:tbl>
    <w:p w:rsidR="00A64A85" w:rsidRDefault="00A64A85"/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A64A85">
        <w:tc>
          <w:tcPr>
            <w:tcW w:w="9951" w:type="dxa"/>
          </w:tcPr>
          <w:p w:rsidR="00A64A85" w:rsidRDefault="00A64A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Содержание сообщения</w:t>
            </w:r>
          </w:p>
        </w:tc>
      </w:tr>
      <w:tr w:rsidR="00A64A85">
        <w:trPr>
          <w:trHeight w:val="1971"/>
        </w:trPr>
        <w:tc>
          <w:tcPr>
            <w:tcW w:w="9951" w:type="dxa"/>
          </w:tcPr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bookmarkStart w:id="0" w:name="dst70"/>
            <w:bookmarkEnd w:id="0"/>
            <w:r>
              <w:rPr>
                <w:color w:val="000000"/>
                <w:sz w:val="24"/>
                <w:szCs w:val="24"/>
              </w:rPr>
              <w:t xml:space="preserve">2.1.Вид общего собрания участников (акционеров) эмитента: </w:t>
            </w:r>
            <w:bookmarkStart w:id="1" w:name="dst100423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годовое (очередное)</w:t>
            </w:r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2.2.Форма проведения общего собрания участников (акционеров) эмитента: </w:t>
            </w:r>
            <w:r>
              <w:rPr>
                <w:b/>
                <w:bCs/>
                <w:color w:val="000000"/>
                <w:sz w:val="24"/>
                <w:szCs w:val="24"/>
              </w:rPr>
              <w:t>собрание (совместное присутствие)</w:t>
            </w:r>
            <w:bookmarkStart w:id="2" w:name="dst100424"/>
            <w:bookmarkEnd w:id="2"/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2.3.Дата, место, время проведения общего собрания участников (акционеров) эмитента:</w:t>
            </w:r>
          </w:p>
          <w:p w:rsidR="00A64A85" w:rsidRDefault="00A64A8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 годового общего собрания: 26 июня 2017 года.</w:t>
            </w:r>
          </w:p>
          <w:p w:rsidR="00A64A85" w:rsidRDefault="00A64A8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Общества: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443099, Российская Федерация, г. Самара, Стрелка рек Волги и Самары, офис акционерного общества «Самарский речной порт»</w:t>
            </w:r>
          </w:p>
          <w:p w:rsidR="00A64A85" w:rsidRDefault="00A64A8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проведения годового общего собрания: 14 часов 00 минут по местному времени.</w:t>
            </w:r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bookmarkStart w:id="3" w:name="dst100425"/>
            <w:bookmarkEnd w:id="3"/>
            <w:r>
              <w:rPr>
                <w:color w:val="000000"/>
                <w:sz w:val="24"/>
                <w:szCs w:val="24"/>
              </w:rPr>
              <w:t>2.4.Кворум общего собрания участников (акционеров) эмитента:</w:t>
            </w:r>
          </w:p>
          <w:p w:rsidR="00A64A85" w:rsidRDefault="00A64A85">
            <w:pPr>
              <w:pStyle w:val="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 голосов, которыми обладали акционеры – владельцы голосующих акций общества, включенные в список лиц, имевших право на участие в общем собрании акционеров – 106 152 (сто шесть тысяч сто пятьдесят два) голоса.</w:t>
            </w:r>
          </w:p>
          <w:p w:rsidR="00A64A85" w:rsidRDefault="00A64A85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участия во внеочередном общем собрании акционеров зарегистрировалось 3 акционера (представителей акционеров), обладающих в совокупности 85 496 ( восемьдесят пять тысяч четыреста девяносто шесть) голосами размещенных голосующих акций АО «Порт Самара», что составляет 80,54 % от общего числа голосов размещенных голосующих акций общества. В соответствии со ст. 58 ФЗ «Об акционерных обществах», Уставом общества, собрание акционеров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  <w:p w:rsidR="00A64A85" w:rsidRDefault="00A64A85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Кворум по всем вопросам имеется.</w:t>
            </w:r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bookmarkStart w:id="4" w:name="dst100426"/>
            <w:bookmarkEnd w:id="4"/>
            <w:r>
              <w:rPr>
                <w:color w:val="000000"/>
                <w:sz w:val="24"/>
                <w:szCs w:val="24"/>
              </w:rPr>
              <w:t>2.5.Повестка дня общего собрания участников (акционеров) эмитента</w:t>
            </w:r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5" w:name="dst100427"/>
            <w:bookmarkEnd w:id="5"/>
          </w:p>
          <w:p w:rsidR="00A64A85" w:rsidRDefault="00A64A85">
            <w:pPr>
              <w:pStyle w:val="BodyText"/>
              <w:ind w:firstLine="709"/>
            </w:pPr>
            <w:r>
              <w:t>1. Об определении порядка ведения общего собрания акционеров.</w:t>
            </w:r>
          </w:p>
          <w:p w:rsidR="00A64A85" w:rsidRDefault="00A64A85">
            <w:pPr>
              <w:pStyle w:val="BodyText"/>
              <w:ind w:firstLine="709"/>
            </w:pPr>
            <w:r>
              <w:t>2. Об утверждении годового отчета общества.</w:t>
            </w:r>
          </w:p>
          <w:p w:rsidR="00A64A85" w:rsidRDefault="00A64A85">
            <w:pPr>
              <w:pStyle w:val="BodyText"/>
              <w:ind w:firstLine="709"/>
            </w:pPr>
            <w:r>
              <w:t>3. Об утверждении годовой бухгалтерской отчетности общества, в том числе отчета о прибылях и об убытках (о финансовых результатах) общества.</w:t>
            </w:r>
          </w:p>
          <w:p w:rsidR="00A64A85" w:rsidRDefault="00A64A85">
            <w:pPr>
              <w:pStyle w:val="BodyText"/>
              <w:ind w:firstLine="709"/>
            </w:pPr>
            <w:r>
              <w:t>4. О распределении прибыли (в том числе выплата (объявление) дивидендов) и убытков по результатам финансового года.</w:t>
            </w:r>
          </w:p>
          <w:p w:rsidR="00A64A85" w:rsidRDefault="00A64A85">
            <w:pPr>
              <w:pStyle w:val="BodyText"/>
              <w:ind w:firstLine="709"/>
            </w:pPr>
            <w:r>
              <w:t>5. Об избрании совета директоров общества.</w:t>
            </w:r>
          </w:p>
          <w:p w:rsidR="00A64A85" w:rsidRDefault="00A64A85">
            <w:pPr>
              <w:pStyle w:val="BodyText"/>
              <w:ind w:firstLine="709"/>
            </w:pPr>
            <w:r>
              <w:t>6. Об избрании ревизионной комиссии общества.</w:t>
            </w:r>
          </w:p>
          <w:p w:rsidR="00A64A85" w:rsidRDefault="00A64A85">
            <w:pPr>
              <w:pStyle w:val="BodyText"/>
              <w:ind w:firstLine="709"/>
            </w:pPr>
            <w:r>
              <w:t>7. Об утверждении аудитора общества.</w:t>
            </w:r>
          </w:p>
          <w:p w:rsidR="00A64A85" w:rsidRDefault="00A64A85">
            <w:pPr>
              <w:pStyle w:val="BodyText"/>
              <w:ind w:firstLine="709"/>
            </w:pPr>
            <w:r>
              <w:t>8. Об обращении в Банк России с заявлением об освобождении эмитента от обязанности осуществлять раскрытие информации.</w:t>
            </w:r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A64A85" w:rsidRDefault="00A64A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Об определении порядка ведения общего собрания акционеров.</w:t>
            </w:r>
          </w:p>
          <w:p w:rsidR="00A64A85" w:rsidRDefault="00A64A85">
            <w:pPr>
              <w:ind w:firstLine="708"/>
              <w:jc w:val="both"/>
              <w:rPr>
                <w:b/>
                <w:bCs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8"/>
              <w:gridCol w:w="1417"/>
              <w:gridCol w:w="1575"/>
              <w:gridCol w:w="1396"/>
              <w:gridCol w:w="2338"/>
              <w:gridCol w:w="1397"/>
            </w:tblGrid>
            <w:tr w:rsidR="00A64A85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A64A85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85 496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которые не подсчитывались в связи с признанием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– 0.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 решение: Избрать председательствующей  на общем собрании акционеров Юсупову Лилию Шавкатовну, секретарем общего собрания Спирину Ольгу Александровну.</w:t>
            </w:r>
          </w:p>
          <w:p w:rsidR="00A64A85" w:rsidRDefault="00A64A85">
            <w:pPr>
              <w:ind w:firstLine="708"/>
              <w:jc w:val="both"/>
              <w:rPr>
                <w:b/>
                <w:bCs/>
              </w:rPr>
            </w:pPr>
          </w:p>
          <w:p w:rsidR="00A64A85" w:rsidRDefault="00A64A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Об утверждении годового отчета общества.</w:t>
            </w: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8"/>
              <w:gridCol w:w="1417"/>
              <w:gridCol w:w="1575"/>
              <w:gridCol w:w="1396"/>
              <w:gridCol w:w="2338"/>
              <w:gridCol w:w="1397"/>
            </w:tblGrid>
            <w:tr w:rsidR="00A64A85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A64A85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85 496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которые не подсчитывались в связи с признанием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– 0.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 решение: Утвердить годовой отчет общества.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Об утверждении годовой бухгалтерской отчетности, в том числе отчета о прибылях и об  убытках (о финансовых результатах) общества.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1"/>
              <w:gridCol w:w="1442"/>
              <w:gridCol w:w="1575"/>
              <w:gridCol w:w="1387"/>
              <w:gridCol w:w="2338"/>
              <w:gridCol w:w="1388"/>
            </w:tblGrid>
            <w:tr w:rsidR="00A64A85">
              <w:trPr>
                <w:trHeight w:val="461"/>
              </w:trPr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A64A85"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85 496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которые не подсчитывались в связи с признанием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– 0.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Принято решение: Утвердить годовую бухгалтерскую отчетность, в том числе отчет о прибылях и об убытках (о финансовых результатах) общества.  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О распределении прибыли (в том числе выплата (объявление) дивидендов) и убытков общества по результатам финансового года.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0"/>
              <w:gridCol w:w="1417"/>
              <w:gridCol w:w="1574"/>
              <w:gridCol w:w="1384"/>
              <w:gridCol w:w="2338"/>
              <w:gridCol w:w="1418"/>
            </w:tblGrid>
            <w:tr w:rsidR="00A64A85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A64A85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85 496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64A85" w:rsidRDefault="00A64A85">
            <w:pPr>
              <w:ind w:left="-567"/>
              <w:jc w:val="both"/>
              <w:rPr>
                <w:b/>
                <w:bCs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которые не подсчитывались в связи с признанием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–  0.</w:t>
            </w:r>
          </w:p>
          <w:p w:rsidR="00A64A85" w:rsidRDefault="00A64A85">
            <w:pPr>
              <w:ind w:left="-567"/>
              <w:jc w:val="both"/>
              <w:rPr>
                <w:b/>
                <w:bCs/>
              </w:rPr>
            </w:pPr>
          </w:p>
          <w:p w:rsidR="00A64A85" w:rsidRDefault="00A64A8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Принято решение: Утвердить  распределение прибыли по итогам работы акционерного общества «Самарский речной порт» за 2016 год:</w:t>
            </w:r>
          </w:p>
          <w:p w:rsidR="00A64A85" w:rsidRDefault="00A64A85">
            <w:pPr>
              <w:pStyle w:val="BodyText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-6% или 3 002 220 рублей направить на социальные выплаты по коллективному договору;</w:t>
            </w:r>
          </w:p>
          <w:p w:rsidR="00A64A85" w:rsidRDefault="00A64A85">
            <w:pPr>
              <w:pStyle w:val="BodyText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-94% или 47 034 780 рублей направить на поддержание и развитие производственной деятельности общества.</w:t>
            </w:r>
          </w:p>
          <w:p w:rsidR="00A64A85" w:rsidRDefault="00A64A85">
            <w:pPr>
              <w:ind w:right="-76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Дивиденды  за 2016 год не выплачивать.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Об избрании членов совета директоров общества.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</w:t>
            </w:r>
          </w:p>
          <w:p w:rsidR="00A64A85" w:rsidRDefault="00A64A85">
            <w:pPr>
              <w:rPr>
                <w:sz w:val="16"/>
                <w:szCs w:val="16"/>
              </w:rPr>
            </w:pPr>
          </w:p>
          <w:tbl>
            <w:tblPr>
              <w:tblW w:w="97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60"/>
              <w:gridCol w:w="3240"/>
              <w:gridCol w:w="1362"/>
              <w:gridCol w:w="1134"/>
              <w:gridCol w:w="959"/>
              <w:gridCol w:w="1025"/>
              <w:gridCol w:w="959"/>
              <w:gridCol w:w="709"/>
            </w:tblGrid>
            <w:tr w:rsidR="00A64A85">
              <w:tc>
                <w:tcPr>
                  <w:tcW w:w="974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ind w:righ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Формулировка решения: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Избрать в Совет директоров АО «Порт Самара»:</w:t>
                  </w:r>
                </w:p>
              </w:tc>
            </w:tr>
            <w:tr w:rsidR="00A64A85">
              <w:trPr>
                <w:cantSplit/>
                <w:trHeight w:val="458"/>
              </w:trPr>
              <w:tc>
                <w:tcPr>
                  <w:tcW w:w="36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Ф.И.О. кандидата</w:t>
                  </w:r>
                </w:p>
              </w:tc>
              <w:tc>
                <w:tcPr>
                  <w:tcW w:w="1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Количество голосов «ЗА»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Количество голосов </w:t>
                  </w:r>
                </w:p>
                <w:p w:rsidR="00A64A85" w:rsidRDefault="00A6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«ПРОТИВ»</w:t>
                  </w:r>
                </w:p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Количество голосов «ВОЗДЕРЖАЛСЯ»</w:t>
                  </w:r>
                </w:p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* Количество голосов</w:t>
                  </w:r>
                </w:p>
              </w:tc>
            </w:tr>
            <w:tr w:rsidR="00A64A85">
              <w:trPr>
                <w:cantSplit/>
                <w:trHeight w:val="1870"/>
              </w:trPr>
              <w:tc>
                <w:tcPr>
                  <w:tcW w:w="360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Количество голосов «ЗА»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«ПРОТИВ» всех кандидатов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  <w:tabs>
                      <w:tab w:val="left" w:pos="1026"/>
                    </w:tabs>
                    <w:ind w:right="-129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«ВОЗДЕРЖАЛСЯ» по сем кандидатам</w:t>
                  </w:r>
                </w:p>
              </w:tc>
            </w:tr>
            <w:tr w:rsidR="00A64A85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BodyText"/>
                  </w:pPr>
                  <w:r>
                    <w:t>Солынин Михаил Александрович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r>
                    <w:t xml:space="preserve">85 496 </w:t>
                  </w:r>
                </w:p>
                <w:p w:rsidR="00A64A85" w:rsidRDefault="00A64A85">
                  <w:r>
                    <w:t>(14,28%)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64A85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BodyText"/>
                  </w:pPr>
                  <w:r>
                    <w:t>Киселева Татьяна Михайловна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r>
                    <w:t xml:space="preserve">85 496 </w:t>
                  </w:r>
                </w:p>
                <w:p w:rsidR="00A64A85" w:rsidRDefault="00A64A85">
                  <w:pPr>
                    <w:autoSpaceDN/>
                  </w:pPr>
                  <w:r>
                    <w:t>(14,28%)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64A85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BodyText"/>
                  </w:pPr>
                </w:p>
                <w:p w:rsidR="00A64A85" w:rsidRDefault="00A64A85">
                  <w:pPr>
                    <w:pStyle w:val="BodyText"/>
                  </w:pPr>
                  <w:r>
                    <w:t>Пивкин Иван Иванович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r>
                    <w:t xml:space="preserve">85 496 </w:t>
                  </w:r>
                </w:p>
                <w:p w:rsidR="00A64A85" w:rsidRDefault="00A64A85">
                  <w:pPr>
                    <w:autoSpaceDN/>
                  </w:pPr>
                  <w:r>
                    <w:t>(14,28%)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64A85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BodyText"/>
                  </w:pPr>
                  <w:r>
                    <w:t>Калинин Сергей Святославович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r>
                    <w:t xml:space="preserve">85 496 </w:t>
                  </w:r>
                </w:p>
                <w:p w:rsidR="00A64A85" w:rsidRDefault="00A64A85">
                  <w:r>
                    <w:t>(14,28%)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Heading1"/>
                  </w:pPr>
                </w:p>
              </w:tc>
            </w:tr>
            <w:tr w:rsidR="00A64A85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BodyText"/>
                  </w:pPr>
                  <w:r>
                    <w:t>Приходько Ольга Николаевна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r>
                    <w:t xml:space="preserve">85 496 </w:t>
                  </w:r>
                </w:p>
                <w:p w:rsidR="00A64A85" w:rsidRDefault="00A64A85">
                  <w:r>
                    <w:t>(14,28%)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64A85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rStyle w:val="Heading1Char"/>
                      <w:b w:val="0"/>
                      <w:bCs w:val="0"/>
                      <w:sz w:val="24"/>
                      <w:szCs w:val="24"/>
                      <w:lang w:val="ru-RU"/>
                    </w:rPr>
                  </w:pPr>
                  <w:r>
                    <w:rPr>
                      <w:rStyle w:val="Heading1Char"/>
                      <w:b w:val="0"/>
                      <w:bCs w:val="0"/>
                      <w:sz w:val="24"/>
                      <w:szCs w:val="24"/>
                      <w:lang w:val="ru-RU"/>
                    </w:rPr>
                    <w:t>Кириллов Михаил Александрович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r>
                    <w:t xml:space="preserve">85 496 </w:t>
                  </w:r>
                </w:p>
                <w:p w:rsidR="00A64A85" w:rsidRDefault="00A64A85">
                  <w:pPr>
                    <w:autoSpaceDN/>
                  </w:pPr>
                  <w:r>
                    <w:t>(14,28%)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64A85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</w:p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/>
                <w:p w:rsidR="00A64A85" w:rsidRDefault="00A64A85">
                  <w:r>
                    <w:t>Михеева Елена Яковлевна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r>
                    <w:t xml:space="preserve">85 496 </w:t>
                  </w:r>
                </w:p>
                <w:p w:rsidR="00A64A85" w:rsidRDefault="00A64A85">
                  <w:pPr>
                    <w:autoSpaceDN/>
                  </w:pPr>
                  <w:r>
                    <w:t>(14,28%)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которые не подсчитывались в связи с признанием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– 0.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 решение: избрать в совет директоров АО «Порт Самара»: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autoSpaceDN/>
              <w:ind w:firstLine="708"/>
              <w:jc w:val="both"/>
            </w:pPr>
            <w:r>
              <w:t>1. Солынина Михаила Александровича;</w:t>
            </w:r>
          </w:p>
          <w:p w:rsidR="00A64A85" w:rsidRDefault="00A64A85">
            <w:pPr>
              <w:ind w:firstLine="708"/>
              <w:jc w:val="both"/>
            </w:pPr>
            <w:r>
              <w:t>2. Киселеву Татьяну Михайловну;</w:t>
            </w:r>
          </w:p>
          <w:p w:rsidR="00A64A85" w:rsidRDefault="00A64A85">
            <w:pPr>
              <w:ind w:firstLine="708"/>
              <w:jc w:val="both"/>
            </w:pPr>
            <w:r>
              <w:t>3. Пивкина Ивана Ивановича;</w:t>
            </w:r>
          </w:p>
          <w:p w:rsidR="00A64A85" w:rsidRDefault="00A64A85">
            <w:pPr>
              <w:ind w:firstLine="708"/>
              <w:jc w:val="both"/>
            </w:pPr>
            <w:r>
              <w:t>4. Калинина Сергея Святославовича;</w:t>
            </w:r>
          </w:p>
          <w:p w:rsidR="00A64A85" w:rsidRDefault="00A64A85">
            <w:pPr>
              <w:ind w:firstLine="708"/>
              <w:jc w:val="both"/>
            </w:pPr>
            <w:r>
              <w:t>5. Приходько Ольгу Николаевну;</w:t>
            </w:r>
          </w:p>
          <w:p w:rsidR="00A64A85" w:rsidRDefault="00A64A85">
            <w:pPr>
              <w:ind w:firstLine="708"/>
              <w:jc w:val="both"/>
            </w:pPr>
            <w:r>
              <w:t>6. Кириллова Михаила Александровича;</w:t>
            </w:r>
          </w:p>
          <w:p w:rsidR="00A64A85" w:rsidRDefault="00A64A85">
            <w:pPr>
              <w:tabs>
                <w:tab w:val="center" w:pos="-2127"/>
              </w:tabs>
              <w:ind w:left="709"/>
              <w:jc w:val="both"/>
            </w:pPr>
            <w:r>
              <w:t>7. Михееву Елену Яковлевну.</w:t>
            </w:r>
          </w:p>
          <w:p w:rsidR="00A64A85" w:rsidRDefault="00A64A85">
            <w:pPr>
              <w:tabs>
                <w:tab w:val="center" w:pos="-2127"/>
              </w:tabs>
              <w:ind w:left="709"/>
              <w:jc w:val="both"/>
              <w:rPr>
                <w:b/>
                <w:bCs/>
              </w:rPr>
            </w:pPr>
          </w:p>
          <w:p w:rsidR="00A64A85" w:rsidRDefault="00A64A85">
            <w:pPr>
              <w:tabs>
                <w:tab w:val="center" w:pos="-212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 Об избрании ревизионной комиссии Общества.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</w:t>
            </w:r>
          </w:p>
          <w:tbl>
            <w:tblPr>
              <w:tblW w:w="10031" w:type="dxa"/>
              <w:tblInd w:w="1" w:type="dxa"/>
              <w:tblLayout w:type="fixed"/>
              <w:tblLook w:val="0000"/>
            </w:tblPr>
            <w:tblGrid>
              <w:gridCol w:w="2235"/>
              <w:gridCol w:w="992"/>
              <w:gridCol w:w="992"/>
              <w:gridCol w:w="1276"/>
              <w:gridCol w:w="1701"/>
              <w:gridCol w:w="2835"/>
            </w:tblGrid>
            <w:tr w:rsidR="00A64A85">
              <w:trPr>
                <w:cantSplit/>
                <w:trHeight w:val="135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ind w:firstLine="540"/>
                    <w:jc w:val="center"/>
                    <w:rPr>
                      <w:sz w:val="24"/>
                      <w:szCs w:val="24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Ф. И. О. кандидата</w:t>
                  </w:r>
                </w:p>
              </w:tc>
              <w:tc>
                <w:tcPr>
                  <w:tcW w:w="779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Вариант голосования</w:t>
                  </w:r>
                </w:p>
              </w:tc>
            </w:tr>
            <w:tr w:rsidR="00A64A85">
              <w:trPr>
                <w:cantSplit/>
                <w:trHeight w:val="135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ind w:firstLine="72"/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ind w:firstLine="72"/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ind w:firstLine="72"/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ind w:firstLine="72"/>
                    <w:jc w:val="center"/>
                    <w:rPr>
                      <w:sz w:val="16"/>
                      <w:szCs w:val="16"/>
                    </w:rPr>
                  </w:pPr>
                </w:p>
                <w:p w:rsidR="00A64A85" w:rsidRDefault="00A64A85">
                  <w:pPr>
                    <w:pStyle w:val="a"/>
                    <w:tabs>
                      <w:tab w:val="left" w:pos="-180"/>
                    </w:tabs>
                    <w:ind w:firstLine="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предусмотренных Положением о дополнительных требованиях к порядку подготовки, созыва и проведения общего собрания акционеров</w:t>
                  </w:r>
                </w:p>
              </w:tc>
            </w:tr>
            <w:tr w:rsidR="00A64A85">
              <w:trPr>
                <w:cantSplit/>
                <w:trHeight w:val="135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Помаз Марина Николаевна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85 496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ind w:firstLine="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ind w:firstLine="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64A85">
              <w:trPr>
                <w:cantSplit/>
                <w:trHeight w:val="135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r>
                    <w:t>Мастерова Татьяна Валерьевна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85 496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ind w:firstLine="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ind w:firstLine="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64A85">
              <w:trPr>
                <w:cantSplit/>
                <w:trHeight w:val="135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Орлова Юлия Юрьевна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85 496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ind w:firstLine="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A85" w:rsidRDefault="00A64A85">
                  <w:pPr>
                    <w:pStyle w:val="BodyText"/>
                    <w:tabs>
                      <w:tab w:val="left" w:pos="-180"/>
                    </w:tabs>
                    <w:ind w:firstLine="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 решение: Избрать в Ревизионную комиссию Общества: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ind w:firstLine="708"/>
              <w:jc w:val="both"/>
            </w:pPr>
            <w:r>
              <w:t>1. Помаз Марину Николаевну;</w:t>
            </w:r>
          </w:p>
          <w:p w:rsidR="00A64A85" w:rsidRDefault="00A64A85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>
              <w:t>2. Мастерову Татьяну Валерьевну</w:t>
            </w:r>
          </w:p>
          <w:p w:rsidR="00A64A85" w:rsidRDefault="00A64A85">
            <w:pPr>
              <w:ind w:firstLine="708"/>
              <w:jc w:val="both"/>
            </w:pPr>
            <w:r>
              <w:t>3. Орлову Юлию Юрьевну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Об утверждении аудитора общества.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</w:pPr>
          </w:p>
          <w:p w:rsidR="00A64A85" w:rsidRDefault="00A64A85">
            <w:pPr>
              <w:tabs>
                <w:tab w:val="left" w:pos="-180"/>
              </w:tabs>
              <w:ind w:firstLine="540"/>
              <w:jc w:val="both"/>
            </w:pPr>
            <w:r>
              <w:t>Голосовали: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1"/>
              <w:gridCol w:w="1442"/>
              <w:gridCol w:w="1575"/>
              <w:gridCol w:w="1387"/>
              <w:gridCol w:w="2338"/>
              <w:gridCol w:w="1388"/>
            </w:tblGrid>
            <w:tr w:rsidR="00A64A85"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A64A85"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85 496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которые не подсчитывались в связи с признанием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– 0.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tabs>
                <w:tab w:val="left" w:pos="-1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Принято решение: </w:t>
            </w:r>
            <w:r>
              <w:t xml:space="preserve"> </w:t>
            </w:r>
            <w:r>
              <w:rPr>
                <w:b/>
                <w:bCs/>
              </w:rPr>
              <w:t>утвердить аудитором общества победителя открытого конкурса, проведенного в соответствии с ФЗ от 05.04.2013 № 44-ФЗ «О контрактной системе закупок товаров, работ, услуг для обеспечения государственных и муниципальных нужд» на право оказания услуг обязательного аудита бухгалтерской (финансовой) отчетности за 2017 год.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Об обращении в Банк России с заявлением об освобождении АО «Порт Самара» от обязанности осуществлять раскрытие информации.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tabs>
                <w:tab w:val="left" w:pos="-180"/>
              </w:tabs>
              <w:ind w:firstLine="540"/>
              <w:jc w:val="both"/>
            </w:pPr>
            <w:r>
              <w:t>Голосовали: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1"/>
              <w:gridCol w:w="1442"/>
              <w:gridCol w:w="1575"/>
              <w:gridCol w:w="1387"/>
              <w:gridCol w:w="2338"/>
              <w:gridCol w:w="1388"/>
            </w:tblGrid>
            <w:tr w:rsidR="00A64A85"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A64A85"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85 496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85" w:rsidRDefault="00A64A85">
                  <w:pPr>
                    <w:pStyle w:val="a"/>
                    <w:tabs>
                      <w:tab w:val="left" w:pos="-1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pStyle w:val="a"/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которые не подсчитывались в связи с признанием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– 0.</w:t>
            </w:r>
          </w:p>
          <w:p w:rsidR="00A64A85" w:rsidRDefault="00A64A85">
            <w:pPr>
              <w:pStyle w:val="a"/>
              <w:tabs>
                <w:tab w:val="left" w:pos="-18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A64A85" w:rsidRDefault="00A64A85">
            <w:pPr>
              <w:tabs>
                <w:tab w:val="left" w:pos="-1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Принято решение: </w:t>
            </w:r>
            <w:r>
              <w:t xml:space="preserve"> </w:t>
            </w:r>
            <w:r>
              <w:rPr>
                <w:b/>
                <w:bCs/>
              </w:rPr>
              <w:t>обратиться в Банк России с заявлением об освобождении эмитента от обязанности осуществлять раскрытие информации.</w:t>
            </w:r>
          </w:p>
          <w:p w:rsidR="00A64A85" w:rsidRDefault="00A64A85">
            <w:pPr>
              <w:pStyle w:val="Title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bookmarkStart w:id="6" w:name="dst100428"/>
            <w:bookmarkEnd w:id="6"/>
          </w:p>
          <w:p w:rsidR="00A64A85" w:rsidRDefault="00A64A85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2.7.Дата составления и номер протокола общего собрания участников (акционеров) эмитента: </w:t>
            </w:r>
            <w:r>
              <w:rPr>
                <w:sz w:val="24"/>
                <w:szCs w:val="24"/>
              </w:rPr>
              <w:t>Протокол № б/н внеочередного общего собрания акционеров акционерного общества «Самарский речной порт» от 29.06.2017</w:t>
            </w:r>
          </w:p>
          <w:p w:rsidR="00A64A85" w:rsidRDefault="00A64A85">
            <w:pPr>
              <w:shd w:val="clear" w:color="auto" w:fill="FFFFFF"/>
              <w:autoSpaceDE/>
              <w:autoSpaceDN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bookmarkStart w:id="7" w:name="dst66"/>
            <w:bookmarkEnd w:id="7"/>
            <w:r>
              <w:rPr>
                <w:color w:val="000000"/>
                <w:sz w:val="24"/>
                <w:szCs w:val="24"/>
              </w:rPr>
              <w:t>2.8.Идентификационные признаки акций, владельцы которых имеют право на участие в общем собрании акционеров эмитента:</w:t>
            </w:r>
          </w:p>
          <w:p w:rsidR="00A64A85" w:rsidRDefault="00A64A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Акции обыкновенные именные бездокументарные</w:t>
            </w:r>
          </w:p>
          <w:p w:rsidR="00A64A85" w:rsidRDefault="00A64A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государственной регистрации: 01.03.2001</w:t>
            </w:r>
          </w:p>
          <w:p w:rsidR="00A64A85" w:rsidRDefault="00A64A85">
            <w:r>
              <w:rPr>
                <w:b/>
                <w:bCs/>
                <w:color w:val="000000"/>
                <w:sz w:val="24"/>
                <w:szCs w:val="24"/>
              </w:rPr>
              <w:t>Государственный регистрационный номер выпуска: 1-02-00417-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64A85" w:rsidRDefault="00A64A85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A64A85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5" w:rsidRDefault="00A64A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Подпись</w:t>
            </w:r>
          </w:p>
        </w:tc>
      </w:tr>
      <w:tr w:rsidR="00A64A85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64A85" w:rsidRDefault="00A64A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Д.В. Клевцов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</w:p>
        </w:tc>
      </w:tr>
      <w:tr w:rsidR="00A64A85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A85" w:rsidRDefault="00A64A8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4A85" w:rsidRDefault="00A64A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64A85" w:rsidRDefault="00A64A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4A85" w:rsidRDefault="00A64A85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A85" w:rsidRDefault="00A64A85">
            <w:pPr>
              <w:rPr>
                <w:sz w:val="24"/>
                <w:szCs w:val="24"/>
              </w:rPr>
            </w:pPr>
          </w:p>
        </w:tc>
      </w:tr>
      <w:tr w:rsidR="00A64A85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A85" w:rsidRDefault="00A64A8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85" w:rsidRDefault="00A64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85" w:rsidRDefault="00A64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85" w:rsidRDefault="00A64A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A85" w:rsidRDefault="00A64A85">
            <w:pPr>
              <w:rPr>
                <w:sz w:val="24"/>
                <w:szCs w:val="24"/>
              </w:rPr>
            </w:pPr>
          </w:p>
        </w:tc>
      </w:tr>
      <w:tr w:rsidR="00A64A85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5" w:rsidRDefault="00A64A85"/>
        </w:tc>
      </w:tr>
    </w:tbl>
    <w:p w:rsidR="00A64A85" w:rsidRDefault="00A64A85"/>
    <w:sectPr w:rsidR="00A64A85" w:rsidSect="00A6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366"/>
    <w:multiLevelType w:val="hybridMultilevel"/>
    <w:tmpl w:val="0FE2B7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/>
      </w:rPr>
    </w:lvl>
  </w:abstractNum>
  <w:abstractNum w:abstractNumId="1">
    <w:nsid w:val="7A847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A85"/>
    <w:rsid w:val="00A6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/>
      <w:autoSpaceDN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pPr>
      <w:widowControl w:val="0"/>
      <w:autoSpaceDE/>
      <w:adjustRightInd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Нормальный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1325</Words>
  <Characters>7557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Мария</dc:creator>
  <cp:keywords/>
  <dc:description/>
  <cp:lastModifiedBy>User</cp:lastModifiedBy>
  <cp:revision>2</cp:revision>
  <cp:lastPrinted>2017-01-13T11:35:00Z</cp:lastPrinted>
  <dcterms:created xsi:type="dcterms:W3CDTF">2017-06-30T05:29:00Z</dcterms:created>
  <dcterms:modified xsi:type="dcterms:W3CDTF">2017-06-30T05:29:00Z</dcterms:modified>
</cp:coreProperties>
</file>