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5D" w:rsidRPr="00DA4079" w:rsidRDefault="003F6D5D" w:rsidP="007E3673">
      <w:pPr>
        <w:ind w:firstLine="6379"/>
        <w:rPr>
          <w:rFonts w:ascii="Times New Roman" w:hAnsi="Times New Roman" w:cs="Times New Roman"/>
          <w:b/>
          <w:color w:val="000000" w:themeColor="text1"/>
        </w:rPr>
      </w:pPr>
      <w:r w:rsidRPr="00DA4079">
        <w:rPr>
          <w:rFonts w:ascii="Times New Roman" w:hAnsi="Times New Roman" w:cs="Times New Roman"/>
          <w:b/>
          <w:color w:val="000000" w:themeColor="text1"/>
        </w:rPr>
        <w:t>УТВЕРЖДЕН</w:t>
      </w:r>
    </w:p>
    <w:p w:rsidR="003F6D5D" w:rsidRPr="007E3673" w:rsidRDefault="0078576D" w:rsidP="007E3673">
      <w:pPr>
        <w:ind w:firstLine="6379"/>
        <w:rPr>
          <w:rFonts w:ascii="Times New Roman" w:hAnsi="Times New Roman" w:cs="Times New Roman"/>
          <w:color w:val="000000" w:themeColor="text1"/>
        </w:rPr>
      </w:pPr>
      <w:r>
        <w:rPr>
          <w:rFonts w:ascii="Times New Roman" w:hAnsi="Times New Roman" w:cs="Times New Roman"/>
          <w:color w:val="000000" w:themeColor="text1"/>
        </w:rPr>
        <w:t>С</w:t>
      </w:r>
      <w:r w:rsidR="003F6D5D" w:rsidRPr="007E3673">
        <w:rPr>
          <w:rFonts w:ascii="Times New Roman" w:hAnsi="Times New Roman" w:cs="Times New Roman"/>
          <w:color w:val="000000" w:themeColor="text1"/>
        </w:rPr>
        <w:t>оветом директоров ПАО "СУПЕР"</w:t>
      </w:r>
    </w:p>
    <w:p w:rsidR="003F6D5D" w:rsidRPr="007E3673" w:rsidRDefault="003F6D5D" w:rsidP="007E3673">
      <w:pPr>
        <w:ind w:firstLine="6379"/>
        <w:rPr>
          <w:rFonts w:ascii="Times New Roman" w:hAnsi="Times New Roman" w:cs="Times New Roman"/>
          <w:color w:val="000000" w:themeColor="text1"/>
        </w:rPr>
      </w:pPr>
      <w:r w:rsidRPr="007E3673">
        <w:rPr>
          <w:rFonts w:ascii="Times New Roman" w:hAnsi="Times New Roman" w:cs="Times New Roman"/>
          <w:color w:val="000000" w:themeColor="text1"/>
        </w:rPr>
        <w:t>Протокол № 1 от</w:t>
      </w:r>
      <w:r w:rsidR="00EF2B7C">
        <w:rPr>
          <w:rFonts w:ascii="Times New Roman" w:hAnsi="Times New Roman" w:cs="Times New Roman"/>
          <w:color w:val="000000" w:themeColor="text1"/>
        </w:rPr>
        <w:t xml:space="preserve"> 18 </w:t>
      </w:r>
      <w:r w:rsidRPr="007E3673">
        <w:rPr>
          <w:rFonts w:ascii="Times New Roman" w:hAnsi="Times New Roman" w:cs="Times New Roman"/>
          <w:color w:val="000000" w:themeColor="text1"/>
        </w:rPr>
        <w:t>июня 2018 года</w:t>
      </w:r>
    </w:p>
    <w:p w:rsidR="003F6D5D" w:rsidRPr="007E3673" w:rsidRDefault="003F6D5D" w:rsidP="007E3673">
      <w:pPr>
        <w:ind w:firstLine="6379"/>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7E3673">
      <w:pPr>
        <w:spacing w:line="360" w:lineRule="auto"/>
        <w:jc w:val="center"/>
        <w:rPr>
          <w:rFonts w:ascii="Times New Roman" w:hAnsi="Times New Roman" w:cs="Times New Roman"/>
          <w:b/>
          <w:color w:val="000000" w:themeColor="text1"/>
          <w:sz w:val="36"/>
          <w:szCs w:val="36"/>
        </w:rPr>
      </w:pPr>
    </w:p>
    <w:p w:rsidR="003F6D5D" w:rsidRPr="007E3673" w:rsidRDefault="003F6D5D" w:rsidP="007E3673">
      <w:pPr>
        <w:spacing w:line="360" w:lineRule="auto"/>
        <w:jc w:val="center"/>
        <w:rPr>
          <w:rFonts w:ascii="Times New Roman" w:hAnsi="Times New Roman" w:cs="Times New Roman"/>
          <w:b/>
          <w:color w:val="000000" w:themeColor="text1"/>
          <w:sz w:val="36"/>
          <w:szCs w:val="36"/>
        </w:rPr>
      </w:pPr>
      <w:r w:rsidRPr="007E3673">
        <w:rPr>
          <w:rFonts w:ascii="Times New Roman" w:hAnsi="Times New Roman" w:cs="Times New Roman"/>
          <w:b/>
          <w:color w:val="000000" w:themeColor="text1"/>
          <w:sz w:val="36"/>
          <w:szCs w:val="36"/>
        </w:rPr>
        <w:t>Перечень информации, относящейся</w:t>
      </w:r>
    </w:p>
    <w:p w:rsidR="003F6D5D" w:rsidRPr="007E3673" w:rsidRDefault="003F6D5D" w:rsidP="007E3673">
      <w:pPr>
        <w:spacing w:line="360" w:lineRule="auto"/>
        <w:jc w:val="center"/>
        <w:rPr>
          <w:rFonts w:ascii="Times New Roman" w:hAnsi="Times New Roman" w:cs="Times New Roman"/>
          <w:b/>
          <w:color w:val="000000" w:themeColor="text1"/>
          <w:sz w:val="36"/>
          <w:szCs w:val="36"/>
        </w:rPr>
      </w:pPr>
      <w:r w:rsidRPr="007E3673">
        <w:rPr>
          <w:rFonts w:ascii="Times New Roman" w:hAnsi="Times New Roman" w:cs="Times New Roman"/>
          <w:b/>
          <w:color w:val="000000" w:themeColor="text1"/>
          <w:sz w:val="36"/>
          <w:szCs w:val="36"/>
        </w:rPr>
        <w:t>к инсайдерской информации</w:t>
      </w:r>
    </w:p>
    <w:p w:rsidR="003F6D5D" w:rsidRPr="007E3673" w:rsidRDefault="003F6D5D" w:rsidP="007E3673">
      <w:pPr>
        <w:spacing w:line="360" w:lineRule="auto"/>
        <w:jc w:val="center"/>
        <w:rPr>
          <w:rFonts w:ascii="Times New Roman" w:hAnsi="Times New Roman" w:cs="Times New Roman"/>
          <w:b/>
          <w:color w:val="000000" w:themeColor="text1"/>
          <w:sz w:val="36"/>
          <w:szCs w:val="36"/>
        </w:rPr>
      </w:pPr>
      <w:r w:rsidRPr="007E3673">
        <w:rPr>
          <w:rFonts w:ascii="Times New Roman" w:hAnsi="Times New Roman" w:cs="Times New Roman"/>
          <w:b/>
          <w:color w:val="000000" w:themeColor="text1"/>
          <w:sz w:val="36"/>
          <w:szCs w:val="36"/>
        </w:rPr>
        <w:t>ПАО "СУПЕР"</w:t>
      </w:r>
    </w:p>
    <w:p w:rsidR="003F6D5D" w:rsidRPr="007E3673" w:rsidRDefault="003F6D5D" w:rsidP="007E3673">
      <w:pPr>
        <w:spacing w:line="360" w:lineRule="auto"/>
        <w:jc w:val="center"/>
        <w:rPr>
          <w:rFonts w:ascii="Times New Roman" w:hAnsi="Times New Roman" w:cs="Times New Roman"/>
          <w:b/>
          <w:color w:val="000000" w:themeColor="text1"/>
          <w:sz w:val="36"/>
          <w:szCs w:val="36"/>
        </w:rPr>
      </w:pPr>
    </w:p>
    <w:p w:rsidR="003F6D5D" w:rsidRPr="007E3673" w:rsidRDefault="003F6D5D" w:rsidP="007E3673">
      <w:pPr>
        <w:spacing w:line="360" w:lineRule="auto"/>
        <w:jc w:val="center"/>
        <w:rPr>
          <w:rFonts w:ascii="Times New Roman" w:hAnsi="Times New Roman" w:cs="Times New Roman"/>
          <w:b/>
          <w:color w:val="000000" w:themeColor="text1"/>
          <w:sz w:val="36"/>
          <w:szCs w:val="36"/>
        </w:rPr>
      </w:pPr>
    </w:p>
    <w:p w:rsidR="003F6D5D" w:rsidRPr="007E3673" w:rsidRDefault="003F6D5D" w:rsidP="007E3673">
      <w:pPr>
        <w:spacing w:line="360" w:lineRule="auto"/>
        <w:jc w:val="center"/>
        <w:rPr>
          <w:rFonts w:ascii="Times New Roman" w:hAnsi="Times New Roman" w:cs="Times New Roman"/>
          <w:b/>
          <w:color w:val="000000" w:themeColor="text1"/>
          <w:sz w:val="36"/>
          <w:szCs w:val="36"/>
        </w:rPr>
      </w:pPr>
    </w:p>
    <w:p w:rsidR="003F6D5D" w:rsidRPr="007E3673" w:rsidRDefault="003F6D5D" w:rsidP="007E3673">
      <w:pPr>
        <w:spacing w:line="360" w:lineRule="auto"/>
        <w:jc w:val="center"/>
        <w:rPr>
          <w:rFonts w:ascii="Times New Roman" w:hAnsi="Times New Roman" w:cs="Times New Roman"/>
          <w:b/>
          <w:color w:val="000000" w:themeColor="text1"/>
          <w:sz w:val="36"/>
          <w:szCs w:val="36"/>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Default="003F6D5D" w:rsidP="003F6D5D">
      <w:pPr>
        <w:rPr>
          <w:rFonts w:ascii="Times New Roman" w:hAnsi="Times New Roman" w:cs="Times New Roman"/>
          <w:color w:val="000000" w:themeColor="text1"/>
        </w:rPr>
      </w:pPr>
    </w:p>
    <w:p w:rsidR="007E3673" w:rsidRDefault="007E3673" w:rsidP="003F6D5D">
      <w:pPr>
        <w:rPr>
          <w:rFonts w:ascii="Times New Roman" w:hAnsi="Times New Roman" w:cs="Times New Roman"/>
          <w:color w:val="000000" w:themeColor="text1"/>
        </w:rPr>
      </w:pPr>
    </w:p>
    <w:p w:rsidR="007E3673" w:rsidRDefault="007E3673" w:rsidP="003F6D5D">
      <w:pPr>
        <w:rPr>
          <w:rFonts w:ascii="Times New Roman" w:hAnsi="Times New Roman" w:cs="Times New Roman"/>
          <w:color w:val="000000" w:themeColor="text1"/>
        </w:rPr>
      </w:pPr>
    </w:p>
    <w:p w:rsidR="007E3673" w:rsidRDefault="007E3673" w:rsidP="003F6D5D">
      <w:pPr>
        <w:rPr>
          <w:rFonts w:ascii="Times New Roman" w:hAnsi="Times New Roman" w:cs="Times New Roman"/>
          <w:color w:val="000000" w:themeColor="text1"/>
        </w:rPr>
      </w:pPr>
    </w:p>
    <w:p w:rsidR="007E3673" w:rsidRDefault="007E3673" w:rsidP="003F6D5D">
      <w:pPr>
        <w:rPr>
          <w:rFonts w:ascii="Times New Roman" w:hAnsi="Times New Roman" w:cs="Times New Roman"/>
          <w:color w:val="000000" w:themeColor="text1"/>
        </w:rPr>
      </w:pPr>
    </w:p>
    <w:p w:rsidR="007E3673" w:rsidRDefault="007E3673" w:rsidP="003F6D5D">
      <w:pPr>
        <w:rPr>
          <w:rFonts w:ascii="Times New Roman" w:hAnsi="Times New Roman" w:cs="Times New Roman"/>
          <w:color w:val="000000" w:themeColor="text1"/>
        </w:rPr>
      </w:pPr>
    </w:p>
    <w:p w:rsidR="007E3673" w:rsidRDefault="007E3673" w:rsidP="003F6D5D">
      <w:pPr>
        <w:rPr>
          <w:rFonts w:ascii="Times New Roman" w:hAnsi="Times New Roman" w:cs="Times New Roman"/>
          <w:color w:val="000000" w:themeColor="text1"/>
        </w:rPr>
      </w:pPr>
    </w:p>
    <w:p w:rsidR="007E3673" w:rsidRPr="007E3673" w:rsidRDefault="007E3673"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p>
    <w:p w:rsidR="003F6D5D" w:rsidRPr="007E3673" w:rsidRDefault="003F6D5D" w:rsidP="007E3673">
      <w:pPr>
        <w:jc w:val="center"/>
        <w:rPr>
          <w:rFonts w:ascii="Times New Roman" w:hAnsi="Times New Roman" w:cs="Times New Roman"/>
          <w:b/>
          <w:color w:val="000000" w:themeColor="text1"/>
          <w:sz w:val="24"/>
          <w:szCs w:val="24"/>
        </w:rPr>
      </w:pPr>
      <w:r w:rsidRPr="007E3673">
        <w:rPr>
          <w:rFonts w:ascii="Times New Roman" w:hAnsi="Times New Roman" w:cs="Times New Roman"/>
          <w:b/>
          <w:color w:val="000000" w:themeColor="text1"/>
          <w:sz w:val="24"/>
          <w:szCs w:val="24"/>
        </w:rPr>
        <w:t>Москва,  2018г.</w:t>
      </w:r>
    </w:p>
    <w:p w:rsidR="007E3673" w:rsidRPr="007E3673" w:rsidRDefault="007E3673" w:rsidP="007E3673">
      <w:pPr>
        <w:jc w:val="center"/>
        <w:rPr>
          <w:rFonts w:ascii="Times New Roman" w:hAnsi="Times New Roman" w:cs="Times New Roman"/>
          <w:b/>
          <w:color w:val="000000" w:themeColor="text1"/>
          <w:sz w:val="24"/>
          <w:szCs w:val="24"/>
        </w:rPr>
      </w:pPr>
    </w:p>
    <w:p w:rsidR="00DA4079" w:rsidRDefault="00DA4079" w:rsidP="003F6D5D">
      <w:pPr>
        <w:rPr>
          <w:rFonts w:ascii="Times New Roman" w:hAnsi="Times New Roman" w:cs="Times New Roman"/>
          <w:color w:val="000000" w:themeColor="text1"/>
        </w:rPr>
      </w:pPr>
    </w:p>
    <w:p w:rsidR="003F6D5D" w:rsidRPr="007E3673" w:rsidRDefault="00C15568" w:rsidP="003F6D5D">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3F6D5D" w:rsidRPr="007E3673">
        <w:rPr>
          <w:rFonts w:ascii="Times New Roman" w:hAnsi="Times New Roman" w:cs="Times New Roman"/>
          <w:color w:val="000000" w:themeColor="text1"/>
        </w:rPr>
        <w:t xml:space="preserve">Информацией, признаваемой в соответствии с законодательством Российской Федерации инсайдерской, является существенная информация о деятельности эмитента, акциях и других ценных бумагах эмитента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эмитента (далее по тексту - </w:t>
      </w:r>
      <w:r w:rsidR="00541CE2">
        <w:rPr>
          <w:rFonts w:ascii="Times New Roman" w:hAnsi="Times New Roman" w:cs="Times New Roman"/>
          <w:color w:val="000000" w:themeColor="text1"/>
        </w:rPr>
        <w:t>"</w:t>
      </w:r>
      <w:r w:rsidR="003F6D5D" w:rsidRPr="007E3673">
        <w:rPr>
          <w:rFonts w:ascii="Times New Roman" w:hAnsi="Times New Roman" w:cs="Times New Roman"/>
          <w:color w:val="000000" w:themeColor="text1"/>
        </w:rPr>
        <w:t>Инсайдерская информация</w:t>
      </w:r>
      <w:r w:rsidR="00541CE2">
        <w:rPr>
          <w:rFonts w:ascii="Times New Roman" w:hAnsi="Times New Roman" w:cs="Times New Roman"/>
          <w:color w:val="000000" w:themeColor="text1"/>
        </w:rPr>
        <w:t>"</w:t>
      </w:r>
      <w:r w:rsidR="003F6D5D" w:rsidRPr="007E3673">
        <w:rPr>
          <w:rFonts w:ascii="Times New Roman" w:hAnsi="Times New Roman" w:cs="Times New Roman"/>
          <w:color w:val="000000" w:themeColor="text1"/>
        </w:rPr>
        <w:t>).</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Перечень Инсайдерской информации Публичного акционерного общества "СУПЕР" (далее по тексту - "Эмитент") составлен в соответствии с Федеральным законом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15568" w:rsidRDefault="00C15568" w:rsidP="003F6D5D">
      <w:pPr>
        <w:rPr>
          <w:rFonts w:ascii="Times New Roman" w:hAnsi="Times New Roman" w:cs="Times New Roman"/>
          <w:color w:val="000000" w:themeColor="text1"/>
        </w:rPr>
      </w:pPr>
    </w:p>
    <w:p w:rsidR="003F6D5D" w:rsidRPr="00C041DF" w:rsidRDefault="003F6D5D" w:rsidP="003F6D5D">
      <w:pPr>
        <w:rPr>
          <w:rFonts w:ascii="Times New Roman" w:hAnsi="Times New Roman" w:cs="Times New Roman"/>
          <w:b/>
          <w:color w:val="000000" w:themeColor="text1"/>
        </w:rPr>
      </w:pPr>
      <w:r w:rsidRPr="00C041DF">
        <w:rPr>
          <w:rFonts w:ascii="Times New Roman" w:hAnsi="Times New Roman" w:cs="Times New Roman"/>
          <w:b/>
          <w:color w:val="000000" w:themeColor="text1"/>
        </w:rPr>
        <w:t xml:space="preserve">1. К </w:t>
      </w:r>
      <w:r w:rsidR="00787056">
        <w:rPr>
          <w:rFonts w:ascii="Times New Roman" w:hAnsi="Times New Roman" w:cs="Times New Roman"/>
          <w:b/>
          <w:color w:val="000000" w:themeColor="text1"/>
        </w:rPr>
        <w:t>и</w:t>
      </w:r>
      <w:r w:rsidRPr="00C041DF">
        <w:rPr>
          <w:rFonts w:ascii="Times New Roman" w:hAnsi="Times New Roman" w:cs="Times New Roman"/>
          <w:b/>
          <w:color w:val="000000" w:themeColor="text1"/>
        </w:rPr>
        <w:t>нсайдерской информации Эмитента относится следующая информация:</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w:t>
      </w:r>
      <w:r w:rsidRPr="007E3673">
        <w:rPr>
          <w:rFonts w:ascii="Times New Roman" w:hAnsi="Times New Roman" w:cs="Times New Roman"/>
          <w:color w:val="000000" w:themeColor="text1"/>
        </w:rPr>
        <w:tab/>
        <w:t>О созыве и проведении общего собрания акционеров Эмитента,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w:t>
      </w:r>
      <w:r w:rsidRPr="007E3673">
        <w:rPr>
          <w:rFonts w:ascii="Times New Roman" w:hAnsi="Times New Roman" w:cs="Times New Roman"/>
          <w:color w:val="000000" w:themeColor="text1"/>
        </w:rPr>
        <w:tab/>
        <w:t>О повестке дня заседания совета директоров Эмитента, а также о принятых им решениях.</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w:t>
      </w:r>
      <w:r w:rsidRPr="007E3673">
        <w:rPr>
          <w:rFonts w:ascii="Times New Roman" w:hAnsi="Times New Roman" w:cs="Times New Roman"/>
          <w:color w:val="000000" w:themeColor="text1"/>
        </w:rPr>
        <w:tab/>
        <w:t>О фактах непринятия советом директоров Эмитента следующих решений, которые должны быть приняты в соответствии с федеральными законами:</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созыве годового (очередного) общего собрания акционеров Эмитента, а также об иных решениях, связанных с подготовкой, созывом и проведением годового (очередного) общего собрания акционеров Эмитента;</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созыве (проведении) или об отказе в созыве (проведении) внеочередного общего собрания акционеров Эмитента по требованию ревизионной комиссии (ревизора) Эмитента, аудитора Эмитента или акционеров (акционера), являющихся владельцами не менее чем 10 процентов голосующих акций Эмитента;</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включении или об отказе во включении внесенных вопросов в повестку дня общего собрания акционеров Эмитента, а выдвинутых кандидатов - в список кандидатур для голосования по выборам в соответствующий орган Эмитента, которые предложены акционерами (акционером), являющимися (являющимся) в совокупности владельцами не менее чем двух процентов голосующих акций Эмитента;</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созыве (проведении) внеочередного общего собрания акционеров Эмитента, в случае, когда количество членов совета директоров Эмитента становится менее количества, составляющего кворум для проведения заседания совета директоров Эмитента;</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об образовании временного единоличного исполнительного органа Эмитента и о проведении внеочередного общего собрания акционеров Эмитента для решения вопроса о досрочном прекращении полномочий его единоличного исполнительного органа и об образовании нового единоличного исполнительного органа Эмитента в случае, когда советом директоров Эмитента принимается решение о приостановлении полномочий его единоличного исполнительного органа;</w:t>
      </w:r>
    </w:p>
    <w:p w:rsidR="003F6D5D" w:rsidRPr="007E3673" w:rsidRDefault="00C15568" w:rsidP="003F6D5D">
      <w:pPr>
        <w:rPr>
          <w:rFonts w:ascii="Times New Roman" w:hAnsi="Times New Roman" w:cs="Times New Roman"/>
          <w:color w:val="000000" w:themeColor="text1"/>
        </w:rPr>
      </w:pPr>
      <w:r>
        <w:rPr>
          <w:rFonts w:ascii="Times New Roman" w:hAnsi="Times New Roman" w:cs="Times New Roman"/>
          <w:color w:val="000000" w:themeColor="text1"/>
        </w:rPr>
        <w:t xml:space="preserve">-   о </w:t>
      </w:r>
      <w:r w:rsidR="003F6D5D" w:rsidRPr="007E3673">
        <w:rPr>
          <w:rFonts w:ascii="Times New Roman" w:hAnsi="Times New Roman" w:cs="Times New Roman"/>
          <w:color w:val="000000" w:themeColor="text1"/>
        </w:rPr>
        <w:t>рекомендациях в отношении полученного Эмитентом добровольного, в том числе конкурирующего, или обязательного предложения, включающего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Эмитента, в том числе в отношении его работников.</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w:t>
      </w:r>
      <w:r w:rsidRPr="007E3673">
        <w:rPr>
          <w:rFonts w:ascii="Times New Roman" w:hAnsi="Times New Roman" w:cs="Times New Roman"/>
          <w:color w:val="000000" w:themeColor="text1"/>
        </w:rPr>
        <w:tab/>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направлении Эмитентом заявления о внесении в ЕГРЮЛ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w:t>
      </w:r>
      <w:r w:rsidRPr="007E3673">
        <w:rPr>
          <w:rFonts w:ascii="Times New Roman" w:hAnsi="Times New Roman" w:cs="Times New Roman"/>
          <w:color w:val="000000" w:themeColor="text1"/>
        </w:rPr>
        <w:tab/>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A63312" w:rsidRPr="00DA4079" w:rsidRDefault="00A63312" w:rsidP="003F6D5D">
      <w:pPr>
        <w:rPr>
          <w:rFonts w:ascii="Times New Roman" w:hAnsi="Times New Roman" w:cs="Times New Roman"/>
          <w:color w:val="000000" w:themeColor="text1"/>
          <w:sz w:val="16"/>
          <w:szCs w:val="16"/>
        </w:rPr>
      </w:pPr>
    </w:p>
    <w:p w:rsidR="003F6D5D"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1.6.</w:t>
      </w:r>
      <w:r w:rsidRPr="007E3673">
        <w:rPr>
          <w:rFonts w:ascii="Times New Roman" w:hAnsi="Times New Roman" w:cs="Times New Roman"/>
          <w:color w:val="000000" w:themeColor="text1"/>
        </w:rPr>
        <w:tab/>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появлении лица, контролирующего Эмитента, а также о прекращении оснований такого контроля.</w:t>
      </w:r>
    </w:p>
    <w:p w:rsidR="00DA4079" w:rsidRPr="00DA4079" w:rsidRDefault="00DA4079"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1.7.</w:t>
      </w:r>
      <w:r w:rsidRPr="007E3673">
        <w:rPr>
          <w:rFonts w:ascii="Times New Roman" w:hAnsi="Times New Roman" w:cs="Times New Roman"/>
          <w:color w:val="000000" w:themeColor="text1"/>
        </w:rPr>
        <w:tab/>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принятии решения о реорганизации или ликвидации организации, контролирующей Эмитента, подконтрольной Эмитенту организации, имеющей для него существенное значение.</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lastRenderedPageBreak/>
        <w:t>1.8.</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ab/>
        <w:t>О направлении организацией, контролирующей Эмитента, подконтрольной Эмитенту организацией, имеющей для него существенное значение,  заявления о внесении в ЕГРЮЛ записей, связанных с реорганизацией, прекращением деятельности или с ликвидацией указанных организаций.</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1.9.</w:t>
      </w:r>
      <w:r w:rsidRPr="007E3673">
        <w:rPr>
          <w:rFonts w:ascii="Times New Roman" w:hAnsi="Times New Roman" w:cs="Times New Roman"/>
          <w:color w:val="000000" w:themeColor="text1"/>
        </w:rPr>
        <w:tab/>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появлении у Эмитента, контролирующего его лица, подконтрольной Эмитенту организации, имеющей для него существенное значение,  признаков несостоятельности (банкротства), предусмотренных законодательством Российской Федерации о несостоятельности (банкротстве).</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1.10.</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принятии арбитражным судом заявления о признании</w:t>
      </w:r>
      <w:r w:rsidRPr="007E3673">
        <w:rPr>
          <w:rFonts w:ascii="Times New Roman" w:hAnsi="Times New Roman" w:cs="Times New Roman"/>
          <w:color w:val="000000" w:themeColor="text1"/>
        </w:rPr>
        <w:tab/>
        <w:t>Эмитента, контролирующего его лица, подконтрольной Эмитенту организации, имеющей для него существенное значение,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1.11.</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предъявлении Эмитенту, контролирующей его организации, подконтрольной Эмитенту организации, имеющей для него существенное значение,  иска, размер требований по которому составляет 10 или более процентов балансовой стоимости активов указанных лиц на дату окончания последнего завершенного отчетного периода, предшествующего предъявлению иска, или иного иска, удовлетворение которого, по мнению Эмитента, может существенным образом повлиять на финансово</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-хозяйственное положение Эмитента или указанных лиц.</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1.12.</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1.13.</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принятии уполномоченными органами Эмитента следующих решений:</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размещении эмиссионных ценных бумаг Эмитента;</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дате начала размещения эмиссионных ценных бумаг Эмитента;</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приостановлении размещения эмиссионных ценных бумаг Эмитента;</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об отказе от размещения эмиссионных ценных бумаг выпуска (дополнительного выпуска)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1.14.</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завершении размещения эмиссионных ценных бумаг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1.15.</w:t>
      </w:r>
      <w:r w:rsidR="00C15568">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направлении (подаче) Эмитентом заявления на государственную регистрацию выпуска (дополнительного выпуска) эмиссионных ценных бумаг, регистрацию проспекта ценных бумаг, государственную регистрацию программы облигаций, государственную регистрацию изменений, вносимых в решение о выпуске (дополнительном выпуске) эмиссионных ценных бумаг и (или) в их проспект, государственную регистрацию изменений в программу облигаций, в условия выпуска (дополнительного выпуска) облигаций и (или) в их проспект в рамках программы облигаций, государственную регистрацию отчета об итогах выпуска (дополнительного выпуска) эмиссионных ценных бумаг.</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090D37" w:rsidP="003F6D5D">
      <w:pPr>
        <w:rPr>
          <w:rFonts w:ascii="Times New Roman" w:hAnsi="Times New Roman" w:cs="Times New Roman"/>
          <w:color w:val="000000" w:themeColor="text1"/>
        </w:rPr>
      </w:pPr>
      <w:r>
        <w:rPr>
          <w:rFonts w:ascii="Times New Roman" w:hAnsi="Times New Roman" w:cs="Times New Roman"/>
          <w:color w:val="000000" w:themeColor="text1"/>
        </w:rPr>
        <w:t>1.16.  О</w:t>
      </w:r>
      <w:r w:rsidR="003F6D5D" w:rsidRPr="007E3673">
        <w:rPr>
          <w:rFonts w:ascii="Times New Roman" w:hAnsi="Times New Roman" w:cs="Times New Roman"/>
          <w:color w:val="000000" w:themeColor="text1"/>
        </w:rPr>
        <w:t xml:space="preserve"> направлении (подаче) Эмитентом уведомления об итогах выпуска (дополнительного выпуска) эмиссионных ценных бумаг.</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090D37" w:rsidP="003F6D5D">
      <w:pPr>
        <w:rPr>
          <w:rFonts w:ascii="Times New Roman" w:hAnsi="Times New Roman" w:cs="Times New Roman"/>
          <w:color w:val="000000" w:themeColor="text1"/>
        </w:rPr>
      </w:pPr>
      <w:r>
        <w:rPr>
          <w:rFonts w:ascii="Times New Roman" w:hAnsi="Times New Roman" w:cs="Times New Roman"/>
          <w:color w:val="000000" w:themeColor="text1"/>
        </w:rPr>
        <w:t xml:space="preserve">1.17.  </w:t>
      </w:r>
      <w:r w:rsidR="003F6D5D" w:rsidRPr="007E3673">
        <w:rPr>
          <w:rFonts w:ascii="Times New Roman" w:hAnsi="Times New Roman" w:cs="Times New Roman"/>
          <w:color w:val="000000" w:themeColor="text1"/>
        </w:rPr>
        <w:t>О решении арбитражного суда о признании выпуска (дополнительного выпуска) эмиссионных ценных бумаг Эмитента недействительным.</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1.18.</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погашении эмиссионных ценных бумаг Эмитента.</w:t>
      </w:r>
    </w:p>
    <w:p w:rsidR="00A63312" w:rsidRPr="00DA4079" w:rsidRDefault="00A63312" w:rsidP="003F6D5D">
      <w:pPr>
        <w:rPr>
          <w:rFonts w:ascii="Times New Roman" w:hAnsi="Times New Roman" w:cs="Times New Roman"/>
          <w:color w:val="000000" w:themeColor="text1"/>
          <w:sz w:val="16"/>
          <w:szCs w:val="16"/>
        </w:rPr>
      </w:pPr>
    </w:p>
    <w:p w:rsidR="003F6D5D"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1.19.</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начисленных и (или) выплаченных доходах по эмиссионным ценным бумагам Эмитента.</w:t>
      </w:r>
    </w:p>
    <w:p w:rsidR="00DA4079" w:rsidRPr="00DA4079" w:rsidRDefault="00DA4079"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1.20.</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Эмитента в котировальный список российской биржи.</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1.21.</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 xml:space="preserve">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w:t>
      </w:r>
      <w:r w:rsidRPr="007E3673">
        <w:rPr>
          <w:rFonts w:ascii="Times New Roman" w:hAnsi="Times New Roman" w:cs="Times New Roman"/>
          <w:color w:val="000000" w:themeColor="text1"/>
        </w:rPr>
        <w:lastRenderedPageBreak/>
        <w:t>(регулируемом)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1.22.</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1.23.</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об условиях указанного договора, а также о прекращении такого договора.</w:t>
      </w:r>
    </w:p>
    <w:p w:rsidR="00A63312" w:rsidRPr="00DA4079" w:rsidRDefault="00A63312" w:rsidP="003F6D5D">
      <w:pPr>
        <w:rPr>
          <w:rFonts w:ascii="Times New Roman" w:hAnsi="Times New Roman" w:cs="Times New Roman"/>
          <w:color w:val="000000" w:themeColor="text1"/>
          <w:sz w:val="18"/>
          <w:szCs w:val="18"/>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1.24.</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подаче Эмитентом заявления на получение разрешения Банка России на размещение и (или) организацию обращения его эмиссионных ценных бумаг за пределами Российской Федерации.</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1.25.</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неисполнении обязательств Эмитента перед владельцами его эмиссионных ценных бумаг.</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1.26.</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Эмитента, распоряжаться определенным количеством голосов, приходящихся на голосующие акции, составляющие уставный капитал Эмитента,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1.27.</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поступившем Эмитенту в соответствии с главой XI.1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1.28.</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поступившем Эмитенту в соответствии с главой XI.1 Федерального закона "Об акционерных обществах" уведомлении о праве требовать выкуп эмиссионных ценных бумаг Эмитента или требовании о выкупе эмиссионных ценных бумаг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1.29.</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выявлении ошибок в ранее раскрытой бухгалтерской (финансовой) отчетности Эмитента, если такие ошибки могут оказать существенное влияние на цену эмиссионных ценных бумаг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1.30.</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совершении Эмитентом сделки, размер которой составляет 10 или более процентов балансовой стоимости активов Эмитента или указанного лица на дату окончания последнего завершенного отчетного периода, предшествующего совершению сделки.</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1.31.</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1.32.</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 xml:space="preserve"> О совершении Эмитентом сделки,</w:t>
      </w:r>
      <w:r w:rsidRPr="007E3673">
        <w:rPr>
          <w:rFonts w:ascii="Times New Roman" w:hAnsi="Times New Roman" w:cs="Times New Roman"/>
          <w:color w:val="000000" w:themeColor="text1"/>
        </w:rPr>
        <w:tab/>
        <w:t>в совершении которой имеется заинтересованность, если размер такой сделки составляет:</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для Эмитентов, балансовая стоимость активов которых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Эмитентом такой сделки, превышает 100 миллиардов рублей, - один процент или более балансовой стоимости активов Эмитента на указанную в настоящем абзаце дату.</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lastRenderedPageBreak/>
        <w:t>1.33.</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размера ипотечного покрытия облигаций.</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1.34.</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Об изменении стоимости активов лица, предоставившего обеспечение по облигациям Эмитента, которое составляет 10 или более процентов, или об ином существенном, по мнению Эмитента, изменении финансово-хозяйственного положения такого лица.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1.35.</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допущены к организованным торгам либо стоимость активов которой превышает пять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1.36.</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Эмитента,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1.37.</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Эмитента.</w:t>
      </w:r>
    </w:p>
    <w:p w:rsidR="00A63312" w:rsidRDefault="00A63312"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1.38.</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1.39.</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Об истечении срока полномочий единоличного исполнительного органа и (или) членов коллегиального исполнительного органа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1.40.</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Об изменении размера доли участия в уставном капитале Эмитента и подконтрольных Эмитенту организаций, имеющих для него существенное значение, лиц, являющихся членами совета директоров Эмитента, членами коллегиального исполнительного органа Эмитента, а также лица, занимающего должность единоличного исполнительного органа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1.41.</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A63312" w:rsidRDefault="00A63312"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1.42.</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lastRenderedPageBreak/>
        <w:t>1.43.</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споре, связанном с созданием Эмитента, управлением им или участием в нем, если решение по указанному спору может оказать существенное влияние на цену эмиссионных ценных бумаг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1.44.</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1.45.</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1.46.</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приобретении (об отчуждении) голосующих акций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1.47.</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Направляемая или предоставляемая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 если такая информация может оказать существенное влияние на цену эмиссионных ценных бумаг Эмитента.</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1.48.</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Составляющая годовую бухгалтерскую (финансовую) отчетность  Эмитента, а также содержащаяся в аудиторских заключениях, подготовленных в отношении указанной отчетности.</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1.49.</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Составляющая промежуточную бухгалтерскую (финансовую) отчетность Эмитента, составленную за отчетный период, состоящий из трех, шести или девяти месяцев текущего года, содержащаяся в аудиторских заключениях, подготовленных в отношении указанной отчетности.</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1.50.</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Составляющая условия размещения эмиссионных ценных бумаг, определенные утвержденным уполномоченным органом Эмитента решением о выпуске (дополнительном выпуске) ценных бумаг, утвержденной программой облигаций, утвержденными условиями выпуска (дополнительного выпуска) облигаций в рамках программы облигаций,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090D37" w:rsidRDefault="00090D37"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1.51.</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Содержащаяся в утвержденном уполномоченным органом Эмитента отчете (уведомлении) об итогах выпуска эмиссионных ценных бумаг,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1.52.</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Содержащаяся в утвержденном уполномоченным органом Эмитента проспекте ценных бумаг,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1.53.</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Содержащаяся в подписанных уполномоченными лицами Эмитента ежеквартальных отчетах,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1.54.</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Содержащаяся в подписанных уполномоченными лицами Эмитента, являющегося акционерным обществом, годовых отчетах такого Эмитента,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1.55.</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заключении Эмитентом договора о стратегическом партнерстве или иного договора, не предусмотренного подпунктами 1.20, 1.21, 1.23, 1.30, 1.32, 1.37 настоящего Перечня, если заключение таких договоров может оказать существенное влияние на цену эмиссионных ценных бумаг Эмитента.</w:t>
      </w:r>
    </w:p>
    <w:p w:rsidR="00DA4079" w:rsidRPr="00DA4079" w:rsidRDefault="00DA4079"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lastRenderedPageBreak/>
        <w:t>1.56.</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проведении и повестке дня (об отказе в проведении) общего собрания владельцев облигаций Эмитента, а также о решениях, принятых общим собранием владельцев облигаций Эмитента (при выпуске Эмитентом облигаций).</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1.57.</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направлении (подаче) Эмитентом уведомления, содержащего сведения о представителе владельцев облигаций (при выпуске Эмитентом облигаций).</w:t>
      </w:r>
    </w:p>
    <w:p w:rsidR="00A63312" w:rsidRPr="00DA4079" w:rsidRDefault="00A63312" w:rsidP="003F6D5D">
      <w:pPr>
        <w:rPr>
          <w:rFonts w:ascii="Times New Roman" w:hAnsi="Times New Roman" w:cs="Times New Roman"/>
          <w:color w:val="000000" w:themeColor="text1"/>
          <w:sz w:val="16"/>
          <w:szCs w:val="16"/>
        </w:rPr>
      </w:pP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1.58.</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принятии судом, арбитражным судом, органом исполнительной власти,</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осуществляющим исполнительное производство, обеспечительных мер в отношении денежных средств или иного имущества, принадлежащего Эмитенту, контролирующей его организации, подконтрольной</w:t>
      </w:r>
      <w:r w:rsidRPr="007E3673">
        <w:rPr>
          <w:rFonts w:ascii="Times New Roman" w:hAnsi="Times New Roman" w:cs="Times New Roman"/>
          <w:color w:val="000000" w:themeColor="text1"/>
        </w:rPr>
        <w:tab/>
        <w:t>Эмитенту организации, имеющей для него существенное значение, либо лицу, предоставившему обеспечение по облигациям Эмитента, составляющих 10 или более процентов балансовой стоимости активов указанных лиц на дату окончания последнего завершенного отчетного периода, предшествующего принятию обеспечительных мер.</w:t>
      </w:r>
    </w:p>
    <w:p w:rsidR="00A63312" w:rsidRPr="00DA4079" w:rsidRDefault="00A63312" w:rsidP="00090D37">
      <w:pPr>
        <w:rPr>
          <w:rFonts w:ascii="Times New Roman" w:hAnsi="Times New Roman" w:cs="Times New Roman"/>
          <w:color w:val="000000" w:themeColor="text1"/>
          <w:sz w:val="16"/>
          <w:szCs w:val="16"/>
        </w:rPr>
      </w:pPr>
    </w:p>
    <w:p w:rsidR="003F6D5D" w:rsidRPr="007E3673" w:rsidRDefault="003F6D5D" w:rsidP="00090D37">
      <w:pPr>
        <w:rPr>
          <w:rFonts w:ascii="Times New Roman" w:hAnsi="Times New Roman" w:cs="Times New Roman"/>
          <w:color w:val="000000" w:themeColor="text1"/>
        </w:rPr>
      </w:pPr>
      <w:r w:rsidRPr="007E3673">
        <w:rPr>
          <w:rFonts w:ascii="Times New Roman" w:hAnsi="Times New Roman" w:cs="Times New Roman"/>
          <w:color w:val="000000" w:themeColor="text1"/>
        </w:rPr>
        <w:t>1.59.</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О возбуждении уголовного дела (поступившая Эмитенту от органов</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предварительного следствия или органов дознания) в отношении члена совета директоров Эмитента, единоличного исполнительного органа Эмитента, контролирующей</w:t>
      </w:r>
      <w:r w:rsidRPr="007E3673">
        <w:rPr>
          <w:rFonts w:ascii="Times New Roman" w:hAnsi="Times New Roman" w:cs="Times New Roman"/>
          <w:color w:val="000000" w:themeColor="text1"/>
        </w:rPr>
        <w:tab/>
        <w:t>его</w:t>
      </w:r>
      <w:r w:rsidRPr="007E3673">
        <w:rPr>
          <w:rFonts w:ascii="Times New Roman" w:hAnsi="Times New Roman" w:cs="Times New Roman"/>
          <w:color w:val="000000" w:themeColor="text1"/>
        </w:rPr>
        <w:tab/>
        <w:t>организации,</w:t>
      </w:r>
      <w:r w:rsidRPr="007E3673">
        <w:rPr>
          <w:rFonts w:ascii="Times New Roman" w:hAnsi="Times New Roman" w:cs="Times New Roman"/>
          <w:color w:val="000000" w:themeColor="text1"/>
        </w:rPr>
        <w:tab/>
        <w:t>подконтрольной</w:t>
      </w:r>
      <w:r w:rsidRPr="007E3673">
        <w:rPr>
          <w:rFonts w:ascii="Times New Roman" w:hAnsi="Times New Roman" w:cs="Times New Roman"/>
          <w:color w:val="000000" w:themeColor="text1"/>
        </w:rPr>
        <w:tab/>
        <w:t>Эмитенту</w:t>
      </w:r>
      <w:r w:rsidRPr="007E3673">
        <w:rPr>
          <w:rFonts w:ascii="Times New Roman" w:hAnsi="Times New Roman" w:cs="Times New Roman"/>
          <w:color w:val="000000" w:themeColor="text1"/>
        </w:rPr>
        <w:tab/>
        <w:t>организации, имеющей для него существенное значение, либо лиц, предоставившего обеспечение по облигациям Эмитента.</w:t>
      </w:r>
    </w:p>
    <w:p w:rsidR="00A63312" w:rsidRPr="00DA4079" w:rsidRDefault="00A63312" w:rsidP="00090D37">
      <w:pPr>
        <w:rPr>
          <w:rFonts w:ascii="Times New Roman" w:hAnsi="Times New Roman" w:cs="Times New Roman"/>
          <w:color w:val="000000" w:themeColor="text1"/>
          <w:sz w:val="16"/>
          <w:szCs w:val="16"/>
        </w:rPr>
      </w:pPr>
    </w:p>
    <w:p w:rsidR="003F6D5D" w:rsidRPr="007E3673" w:rsidRDefault="00090D37" w:rsidP="00090D37">
      <w:pPr>
        <w:rPr>
          <w:rFonts w:ascii="Times New Roman" w:hAnsi="Times New Roman" w:cs="Times New Roman"/>
          <w:color w:val="000000" w:themeColor="text1"/>
        </w:rPr>
      </w:pPr>
      <w:r>
        <w:rPr>
          <w:rFonts w:ascii="Times New Roman" w:hAnsi="Times New Roman" w:cs="Times New Roman"/>
          <w:color w:val="000000" w:themeColor="text1"/>
        </w:rPr>
        <w:t xml:space="preserve">1.60.  </w:t>
      </w:r>
      <w:r w:rsidR="003F6D5D" w:rsidRPr="007E3673">
        <w:rPr>
          <w:rFonts w:ascii="Times New Roman" w:hAnsi="Times New Roman" w:cs="Times New Roman"/>
          <w:color w:val="000000" w:themeColor="text1"/>
        </w:rPr>
        <w:t>О привлечении заемных средств, их досрочном возвращении, невозможности исполнить обязательства по их возврату.</w:t>
      </w:r>
    </w:p>
    <w:p w:rsidR="00A63312" w:rsidRDefault="00A63312" w:rsidP="003F6D5D">
      <w:pPr>
        <w:rPr>
          <w:rFonts w:ascii="Times New Roman" w:hAnsi="Times New Roman" w:cs="Times New Roman"/>
          <w:color w:val="000000" w:themeColor="text1"/>
        </w:rPr>
      </w:pPr>
    </w:p>
    <w:p w:rsidR="003F6D5D" w:rsidRPr="007E3673" w:rsidRDefault="00090D37" w:rsidP="003F6D5D">
      <w:pPr>
        <w:rPr>
          <w:rFonts w:ascii="Times New Roman" w:hAnsi="Times New Roman" w:cs="Times New Roman"/>
          <w:color w:val="000000" w:themeColor="text1"/>
        </w:rPr>
      </w:pPr>
      <w:r>
        <w:rPr>
          <w:rFonts w:ascii="Times New Roman" w:hAnsi="Times New Roman" w:cs="Times New Roman"/>
          <w:color w:val="000000" w:themeColor="text1"/>
        </w:rPr>
        <w:t xml:space="preserve">1.61.  </w:t>
      </w:r>
      <w:r w:rsidR="003F6D5D" w:rsidRPr="007E3673">
        <w:rPr>
          <w:rFonts w:ascii="Times New Roman" w:hAnsi="Times New Roman" w:cs="Times New Roman"/>
          <w:color w:val="000000" w:themeColor="text1"/>
        </w:rPr>
        <w:t>Об инвестициях (размещении капитала с целью получения прибыли) Эмитента.</w:t>
      </w:r>
    </w:p>
    <w:p w:rsidR="003F6D5D" w:rsidRPr="00DA4079" w:rsidRDefault="003F6D5D" w:rsidP="003F6D5D">
      <w:pPr>
        <w:rPr>
          <w:rFonts w:ascii="Times New Roman" w:hAnsi="Times New Roman" w:cs="Times New Roman"/>
          <w:i/>
          <w:color w:val="000000" w:themeColor="text1"/>
        </w:rPr>
      </w:pPr>
      <w:r w:rsidRPr="00DA4079">
        <w:rPr>
          <w:rFonts w:ascii="Times New Roman" w:hAnsi="Times New Roman" w:cs="Times New Roman"/>
          <w:i/>
          <w:color w:val="000000" w:themeColor="text1"/>
        </w:rPr>
        <w:t>Примечание:</w:t>
      </w:r>
    </w:p>
    <w:p w:rsidR="003F6D5D" w:rsidRPr="00DA4079" w:rsidRDefault="003F6D5D" w:rsidP="003F6D5D">
      <w:pPr>
        <w:rPr>
          <w:rFonts w:ascii="Times New Roman" w:hAnsi="Times New Roman" w:cs="Times New Roman"/>
          <w:color w:val="000000" w:themeColor="text1"/>
          <w:spacing w:val="-4"/>
        </w:rPr>
      </w:pPr>
      <w:r w:rsidRPr="00DA4079">
        <w:rPr>
          <w:rFonts w:ascii="Times New Roman" w:hAnsi="Times New Roman" w:cs="Times New Roman"/>
          <w:color w:val="000000" w:themeColor="text1"/>
          <w:spacing w:val="-4"/>
        </w:rPr>
        <w:t xml:space="preserve"> - </w:t>
      </w:r>
      <w:r w:rsidR="00090D37" w:rsidRPr="00DA4079">
        <w:rPr>
          <w:rFonts w:ascii="Times New Roman" w:hAnsi="Times New Roman" w:cs="Times New Roman"/>
          <w:color w:val="000000" w:themeColor="text1"/>
          <w:spacing w:val="-4"/>
        </w:rPr>
        <w:t xml:space="preserve"> </w:t>
      </w:r>
      <w:r w:rsidRPr="00DA4079">
        <w:rPr>
          <w:rFonts w:ascii="Times New Roman" w:hAnsi="Times New Roman" w:cs="Times New Roman"/>
          <w:color w:val="000000" w:themeColor="text1"/>
          <w:spacing w:val="-4"/>
        </w:rPr>
        <w:t>Информация о размещаемых Эмитентом эмиссионных ценных бумагах, предусмотренная подпунктами 1.13 - 1.16, 1.50, 1.51, 1.56 и 1.57, относится к инсайдерской ин формации Эмитента в случае, если:</w:t>
      </w:r>
    </w:p>
    <w:p w:rsidR="003F6D5D" w:rsidRPr="007E3673" w:rsidRDefault="00090D37" w:rsidP="003F6D5D">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3F6D5D" w:rsidRPr="007E3673">
        <w:rPr>
          <w:rFonts w:ascii="Times New Roman" w:hAnsi="Times New Roman" w:cs="Times New Roman"/>
          <w:color w:val="000000" w:themeColor="text1"/>
        </w:rPr>
        <w:t>размещение эмиссионных ценных бумаг Эмитента осуществляется на организованных торгах;</w:t>
      </w:r>
    </w:p>
    <w:p w:rsidR="003F6D5D" w:rsidRPr="007E3673" w:rsidRDefault="00090D37" w:rsidP="003F6D5D">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3F6D5D" w:rsidRPr="007E3673">
        <w:rPr>
          <w:rFonts w:ascii="Times New Roman" w:hAnsi="Times New Roman" w:cs="Times New Roman"/>
          <w:color w:val="000000" w:themeColor="text1"/>
        </w:rPr>
        <w:t>размещаемые эмиссионные ценные бумаги Эмитента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w:t>
      </w:r>
    </w:p>
    <w:p w:rsidR="003F6D5D" w:rsidRPr="007E3673"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 xml:space="preserve"> - </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Информация о размещенных (находящихся в обращении) эмиссионных ценных бумагах Эмитента, предусмотренная подпунктами 1.12, 1.18, 1.19, 1.23, 1.37, 1.41, 1.56 и 1.57, относится к инсайдерской информации Эмитента в случае, 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3F6D5D" w:rsidRDefault="003F6D5D" w:rsidP="003F6D5D">
      <w:pPr>
        <w:rPr>
          <w:rFonts w:ascii="Times New Roman" w:hAnsi="Times New Roman" w:cs="Times New Roman"/>
          <w:color w:val="000000" w:themeColor="text1"/>
        </w:rPr>
      </w:pPr>
      <w:r w:rsidRPr="007E3673">
        <w:rPr>
          <w:rFonts w:ascii="Times New Roman" w:hAnsi="Times New Roman" w:cs="Times New Roman"/>
          <w:color w:val="000000" w:themeColor="text1"/>
        </w:rPr>
        <w:t xml:space="preserve">- </w:t>
      </w:r>
      <w:r w:rsidR="00090D37">
        <w:rPr>
          <w:rFonts w:ascii="Times New Roman" w:hAnsi="Times New Roman" w:cs="Times New Roman"/>
          <w:color w:val="000000" w:themeColor="text1"/>
        </w:rPr>
        <w:t xml:space="preserve"> </w:t>
      </w:r>
      <w:r w:rsidRPr="007E3673">
        <w:rPr>
          <w:rFonts w:ascii="Times New Roman" w:hAnsi="Times New Roman" w:cs="Times New Roman"/>
          <w:color w:val="000000" w:themeColor="text1"/>
        </w:rPr>
        <w:t>Информация о лице, предоставившем обеспечение по облигациям Эмитента, а также об условиях такого обеспечения относится к Инсайдерской информации Эмитента в случае, если указанные облигации допущены к организованным торгам или в отношении них подана заявка о допуске к организованным торгам.</w:t>
      </w:r>
    </w:p>
    <w:p w:rsidR="00090D37" w:rsidRPr="007E3673" w:rsidRDefault="00090D37" w:rsidP="003F6D5D">
      <w:pPr>
        <w:rPr>
          <w:rFonts w:ascii="Times New Roman" w:hAnsi="Times New Roman" w:cs="Times New Roman"/>
          <w:color w:val="000000" w:themeColor="text1"/>
        </w:rPr>
      </w:pPr>
    </w:p>
    <w:p w:rsidR="003F6D5D" w:rsidRPr="007E3673" w:rsidRDefault="003F6D5D" w:rsidP="003F6D5D">
      <w:pPr>
        <w:rPr>
          <w:rFonts w:ascii="Times New Roman" w:hAnsi="Times New Roman" w:cs="Times New Roman"/>
          <w:color w:val="000000" w:themeColor="text1"/>
        </w:rPr>
      </w:pPr>
      <w:r w:rsidRPr="00A63312">
        <w:rPr>
          <w:rFonts w:ascii="Times New Roman" w:hAnsi="Times New Roman" w:cs="Times New Roman"/>
          <w:b/>
          <w:color w:val="000000" w:themeColor="text1"/>
        </w:rPr>
        <w:t>2. К инсайдерской информации Эмитента не относится информация и (или) основанные на ней</w:t>
      </w:r>
      <w:r w:rsidRPr="007E3673">
        <w:rPr>
          <w:rFonts w:ascii="Times New Roman" w:hAnsi="Times New Roman" w:cs="Times New Roman"/>
          <w:color w:val="000000" w:themeColor="text1"/>
        </w:rPr>
        <w:t xml:space="preserve"> </w:t>
      </w:r>
      <w:r w:rsidRPr="00A63312">
        <w:rPr>
          <w:rFonts w:ascii="Times New Roman" w:hAnsi="Times New Roman" w:cs="Times New Roman"/>
          <w:b/>
          <w:color w:val="000000" w:themeColor="text1"/>
        </w:rPr>
        <w:t>сведения,</w:t>
      </w:r>
      <w:r w:rsidRPr="007E3673">
        <w:rPr>
          <w:rFonts w:ascii="Times New Roman" w:hAnsi="Times New Roman" w:cs="Times New Roman"/>
          <w:color w:val="000000" w:themeColor="text1"/>
        </w:rPr>
        <w:t xml:space="preserve"> которые передаются Эмитентом и (или) привлеченным им лицом (привлеченными им лицами) потенциальным приобретателям либо используются Эмитентом и (или) привлеченным им лицом (привлеченными им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 (организацией предложения) в Российской Федерации или за ее пределами эмиссионных ценных бумаг Эмитента, в том числе посредством размещения ценных бумаг иностранного Эмитента, удостоверяющих права в отношении эмиссионных ценных бумаг Эмитента,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решения о приобретении размещаемых (предлагаемых) ценных бумаг.</w:t>
      </w:r>
    </w:p>
    <w:p w:rsidR="000C05C5" w:rsidRPr="007E3673" w:rsidRDefault="00090D37">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3F6D5D" w:rsidRPr="007E3673">
        <w:rPr>
          <w:rFonts w:ascii="Times New Roman" w:hAnsi="Times New Roman" w:cs="Times New Roman"/>
          <w:color w:val="000000" w:themeColor="text1"/>
        </w:rPr>
        <w:t>Информация о лице, предоставившем обеспечение по облигациям Эмитента, предусмотренная пунктами 1.7 - 1.11, 1.30, 1.34, 1.59 настоящего Перечня, не относится к инсайдерской информации Эмитента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или муниципальное образование, предоставившее муниципальную гарантию по облигациям Эмитента.</w:t>
      </w:r>
    </w:p>
    <w:sectPr w:rsidR="000C05C5" w:rsidRPr="007E3673" w:rsidSect="00DA4079">
      <w:headerReference w:type="default" r:id="rId6"/>
      <w:footerReference w:type="default" r:id="rId7"/>
      <w:pgSz w:w="11906" w:h="16838"/>
      <w:pgMar w:top="1134" w:right="707" w:bottom="993" w:left="1276" w:header="426" w:footer="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F8" w:rsidRDefault="00BF50F8" w:rsidP="008C4EC7">
      <w:r>
        <w:separator/>
      </w:r>
    </w:p>
  </w:endnote>
  <w:endnote w:type="continuationSeparator" w:id="1">
    <w:p w:rsidR="00BF50F8" w:rsidRDefault="00BF50F8" w:rsidP="008C4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0954"/>
      <w:docPartObj>
        <w:docPartGallery w:val="Page Numbers (Bottom of Page)"/>
        <w:docPartUnique/>
      </w:docPartObj>
    </w:sdtPr>
    <w:sdtEndPr>
      <w:rPr>
        <w:rFonts w:ascii="Times New Roman" w:hAnsi="Times New Roman" w:cs="Times New Roman"/>
      </w:rPr>
    </w:sdtEndPr>
    <w:sdtContent>
      <w:p w:rsidR="008C4EC7" w:rsidRPr="008C4EC7" w:rsidRDefault="0064052F">
        <w:pPr>
          <w:pStyle w:val="a5"/>
          <w:jc w:val="right"/>
          <w:rPr>
            <w:rFonts w:ascii="Times New Roman" w:hAnsi="Times New Roman" w:cs="Times New Roman"/>
          </w:rPr>
        </w:pPr>
        <w:r w:rsidRPr="008C4EC7">
          <w:rPr>
            <w:rFonts w:ascii="Times New Roman" w:hAnsi="Times New Roman" w:cs="Times New Roman"/>
          </w:rPr>
          <w:fldChar w:fldCharType="begin"/>
        </w:r>
        <w:r w:rsidR="008C4EC7" w:rsidRPr="008C4EC7">
          <w:rPr>
            <w:rFonts w:ascii="Times New Roman" w:hAnsi="Times New Roman" w:cs="Times New Roman"/>
          </w:rPr>
          <w:instrText xml:space="preserve"> PAGE   \* MERGEFORMAT </w:instrText>
        </w:r>
        <w:r w:rsidRPr="008C4EC7">
          <w:rPr>
            <w:rFonts w:ascii="Times New Roman" w:hAnsi="Times New Roman" w:cs="Times New Roman"/>
          </w:rPr>
          <w:fldChar w:fldCharType="separate"/>
        </w:r>
        <w:r w:rsidR="0078576D">
          <w:rPr>
            <w:rFonts w:ascii="Times New Roman" w:hAnsi="Times New Roman" w:cs="Times New Roman"/>
            <w:noProof/>
          </w:rPr>
          <w:t>1</w:t>
        </w:r>
        <w:r w:rsidRPr="008C4EC7">
          <w:rPr>
            <w:rFonts w:ascii="Times New Roman" w:hAnsi="Times New Roman" w:cs="Times New Roman"/>
          </w:rPr>
          <w:fldChar w:fldCharType="end"/>
        </w:r>
      </w:p>
    </w:sdtContent>
  </w:sdt>
  <w:p w:rsidR="008C4EC7" w:rsidRDefault="008C4E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F8" w:rsidRDefault="00BF50F8" w:rsidP="008C4EC7">
      <w:r>
        <w:separator/>
      </w:r>
    </w:p>
  </w:footnote>
  <w:footnote w:type="continuationSeparator" w:id="1">
    <w:p w:rsidR="00BF50F8" w:rsidRDefault="00BF50F8" w:rsidP="008C4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0153"/>
    </w:tblGrid>
    <w:tr w:rsidR="00DA4079" w:rsidTr="00D46A18">
      <w:trPr>
        <w:trHeight w:val="288"/>
      </w:trPr>
      <w:tc>
        <w:tcPr>
          <w:tcW w:w="10230" w:type="dxa"/>
        </w:tcPr>
        <w:p w:rsidR="00DA4079" w:rsidRDefault="00DA4079" w:rsidP="00D46A18">
          <w:pPr>
            <w:pStyle w:val="a3"/>
            <w:jc w:val="center"/>
            <w:rPr>
              <w:rFonts w:asciiTheme="majorHAnsi" w:eastAsiaTheme="majorEastAsia" w:hAnsiTheme="majorHAnsi" w:cstheme="majorBidi"/>
              <w:b/>
              <w:bCs/>
              <w:color w:val="4F81BD" w:themeColor="accent1"/>
              <w:sz w:val="36"/>
              <w:szCs w:val="36"/>
            </w:rPr>
          </w:pPr>
          <w:r>
            <w:rPr>
              <w:rFonts w:ascii="Times New Roman" w:hAnsi="Times New Roman" w:cs="Times New Roman"/>
              <w:b/>
              <w:i/>
              <w:color w:val="808080"/>
              <w:sz w:val="28"/>
              <w:szCs w:val="28"/>
            </w:rPr>
            <w:t>Публичное акционерное общество</w:t>
          </w:r>
          <w:r w:rsidRPr="00BE2E41">
            <w:rPr>
              <w:rFonts w:ascii="Times New Roman" w:eastAsia="Calibri" w:hAnsi="Times New Roman" w:cs="Times New Roman"/>
              <w:b/>
              <w:i/>
              <w:color w:val="808080"/>
              <w:sz w:val="28"/>
              <w:szCs w:val="28"/>
            </w:rPr>
            <w:t>"</w:t>
          </w:r>
          <w:r>
            <w:rPr>
              <w:rFonts w:ascii="Times New Roman" w:hAnsi="Times New Roman" w:cs="Times New Roman"/>
              <w:b/>
              <w:i/>
              <w:color w:val="808080"/>
              <w:sz w:val="28"/>
              <w:szCs w:val="28"/>
            </w:rPr>
            <w:t xml:space="preserve"> СУПЕР</w:t>
          </w:r>
          <w:r w:rsidRPr="00BE2E41">
            <w:rPr>
              <w:rFonts w:ascii="Times New Roman" w:eastAsia="Calibri" w:hAnsi="Times New Roman" w:cs="Times New Roman"/>
              <w:b/>
              <w:i/>
              <w:color w:val="808080"/>
              <w:sz w:val="28"/>
              <w:szCs w:val="28"/>
            </w:rPr>
            <w:t>"</w:t>
          </w:r>
        </w:p>
      </w:tc>
    </w:tr>
  </w:tbl>
  <w:p w:rsidR="00DA4079" w:rsidRDefault="00DA4079" w:rsidP="00DA4079">
    <w:pPr>
      <w:pStyle w:val="a3"/>
      <w:pBdr>
        <w:between w:val="single" w:sz="4" w:space="1" w:color="4F81BD" w:themeColor="accent1"/>
      </w:pBdr>
      <w:spacing w:line="276" w:lineRule="aut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397"/>
  <w:characterSpacingControl w:val="doNotCompress"/>
  <w:footnotePr>
    <w:footnote w:id="0"/>
    <w:footnote w:id="1"/>
  </w:footnotePr>
  <w:endnotePr>
    <w:endnote w:id="0"/>
    <w:endnote w:id="1"/>
  </w:endnotePr>
  <w:compat/>
  <w:rsids>
    <w:rsidRoot w:val="003F6D5D"/>
    <w:rsid w:val="00014173"/>
    <w:rsid w:val="00063FD6"/>
    <w:rsid w:val="00090D37"/>
    <w:rsid w:val="000A589C"/>
    <w:rsid w:val="000C05C5"/>
    <w:rsid w:val="000C299F"/>
    <w:rsid w:val="000D6689"/>
    <w:rsid w:val="00103815"/>
    <w:rsid w:val="00111E53"/>
    <w:rsid w:val="00140BB1"/>
    <w:rsid w:val="00165FEA"/>
    <w:rsid w:val="00177940"/>
    <w:rsid w:val="001A458F"/>
    <w:rsid w:val="00206AE5"/>
    <w:rsid w:val="002503CC"/>
    <w:rsid w:val="00252E43"/>
    <w:rsid w:val="002776A2"/>
    <w:rsid w:val="0028481B"/>
    <w:rsid w:val="0038552D"/>
    <w:rsid w:val="003D44BE"/>
    <w:rsid w:val="003F49AF"/>
    <w:rsid w:val="003F6D5D"/>
    <w:rsid w:val="00413F4B"/>
    <w:rsid w:val="00421B21"/>
    <w:rsid w:val="0043008E"/>
    <w:rsid w:val="004310B2"/>
    <w:rsid w:val="00467512"/>
    <w:rsid w:val="00490281"/>
    <w:rsid w:val="004939A4"/>
    <w:rsid w:val="00506100"/>
    <w:rsid w:val="00512F34"/>
    <w:rsid w:val="00520490"/>
    <w:rsid w:val="00532ED4"/>
    <w:rsid w:val="00541CE2"/>
    <w:rsid w:val="00557205"/>
    <w:rsid w:val="00574E1B"/>
    <w:rsid w:val="005A54F7"/>
    <w:rsid w:val="005D789E"/>
    <w:rsid w:val="0064052F"/>
    <w:rsid w:val="0066673A"/>
    <w:rsid w:val="00696CD9"/>
    <w:rsid w:val="006D0198"/>
    <w:rsid w:val="006D0998"/>
    <w:rsid w:val="006D43A4"/>
    <w:rsid w:val="007129D4"/>
    <w:rsid w:val="00742214"/>
    <w:rsid w:val="007471C5"/>
    <w:rsid w:val="007541D5"/>
    <w:rsid w:val="0078576D"/>
    <w:rsid w:val="00787056"/>
    <w:rsid w:val="007A4FA4"/>
    <w:rsid w:val="007C5274"/>
    <w:rsid w:val="007D1965"/>
    <w:rsid w:val="007E3673"/>
    <w:rsid w:val="0083273A"/>
    <w:rsid w:val="00837442"/>
    <w:rsid w:val="00850F86"/>
    <w:rsid w:val="008832BC"/>
    <w:rsid w:val="008B7B89"/>
    <w:rsid w:val="008C4EC7"/>
    <w:rsid w:val="008E5A8F"/>
    <w:rsid w:val="009168D0"/>
    <w:rsid w:val="0096559A"/>
    <w:rsid w:val="00997FA3"/>
    <w:rsid w:val="009B34B0"/>
    <w:rsid w:val="009C07EE"/>
    <w:rsid w:val="009D1851"/>
    <w:rsid w:val="00A63312"/>
    <w:rsid w:val="00A9537E"/>
    <w:rsid w:val="00AA0641"/>
    <w:rsid w:val="00AC4726"/>
    <w:rsid w:val="00AF6379"/>
    <w:rsid w:val="00B216F7"/>
    <w:rsid w:val="00B462A8"/>
    <w:rsid w:val="00BF50F8"/>
    <w:rsid w:val="00BF6C0D"/>
    <w:rsid w:val="00C041DF"/>
    <w:rsid w:val="00C10F1E"/>
    <w:rsid w:val="00C15568"/>
    <w:rsid w:val="00C27CC9"/>
    <w:rsid w:val="00C94401"/>
    <w:rsid w:val="00D677E3"/>
    <w:rsid w:val="00DA4079"/>
    <w:rsid w:val="00E1582B"/>
    <w:rsid w:val="00E51441"/>
    <w:rsid w:val="00E602B6"/>
    <w:rsid w:val="00E7535C"/>
    <w:rsid w:val="00E767D1"/>
    <w:rsid w:val="00E834A7"/>
    <w:rsid w:val="00E83DEE"/>
    <w:rsid w:val="00E84171"/>
    <w:rsid w:val="00EC5434"/>
    <w:rsid w:val="00EF2B7C"/>
    <w:rsid w:val="00FF5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EC7"/>
    <w:pPr>
      <w:tabs>
        <w:tab w:val="center" w:pos="4677"/>
        <w:tab w:val="right" w:pos="9355"/>
      </w:tabs>
    </w:pPr>
  </w:style>
  <w:style w:type="character" w:customStyle="1" w:styleId="a4">
    <w:name w:val="Верхний колонтитул Знак"/>
    <w:basedOn w:val="a0"/>
    <w:link w:val="a3"/>
    <w:uiPriority w:val="99"/>
    <w:rsid w:val="008C4EC7"/>
  </w:style>
  <w:style w:type="paragraph" w:styleId="a5">
    <w:name w:val="footer"/>
    <w:basedOn w:val="a"/>
    <w:link w:val="a6"/>
    <w:uiPriority w:val="99"/>
    <w:unhideWhenUsed/>
    <w:rsid w:val="008C4EC7"/>
    <w:pPr>
      <w:tabs>
        <w:tab w:val="center" w:pos="4677"/>
        <w:tab w:val="right" w:pos="9355"/>
      </w:tabs>
    </w:pPr>
  </w:style>
  <w:style w:type="character" w:customStyle="1" w:styleId="a6">
    <w:name w:val="Нижний колонтитул Знак"/>
    <w:basedOn w:val="a0"/>
    <w:link w:val="a5"/>
    <w:uiPriority w:val="99"/>
    <w:rsid w:val="008C4EC7"/>
  </w:style>
  <w:style w:type="paragraph" w:styleId="a7">
    <w:name w:val="Balloon Text"/>
    <w:basedOn w:val="a"/>
    <w:link w:val="a8"/>
    <w:uiPriority w:val="99"/>
    <w:semiHidden/>
    <w:unhideWhenUsed/>
    <w:rsid w:val="008C4EC7"/>
    <w:rPr>
      <w:rFonts w:ascii="Tahoma" w:hAnsi="Tahoma" w:cs="Tahoma"/>
      <w:sz w:val="16"/>
      <w:szCs w:val="16"/>
    </w:rPr>
  </w:style>
  <w:style w:type="character" w:customStyle="1" w:styleId="a8">
    <w:name w:val="Текст выноски Знак"/>
    <w:basedOn w:val="a0"/>
    <w:link w:val="a7"/>
    <w:uiPriority w:val="99"/>
    <w:semiHidden/>
    <w:rsid w:val="008C4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3565</Words>
  <Characters>20327</Characters>
  <Application>Microsoft Office Word</Application>
  <DocSecurity>0</DocSecurity>
  <Lines>169</Lines>
  <Paragraphs>47</Paragraphs>
  <ScaleCrop>false</ScaleCrop>
  <Company>Microsoft</Company>
  <LinksUpToDate>false</LinksUpToDate>
  <CharactersWithSpaces>23845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2018-06-15T11:13:00Z</cp:lastPrinted>
  <dcterms:created xsi:type="dcterms:W3CDTF">2018-06-07T14:30:00Z</dcterms:created>
  <dcterms:modified xsi:type="dcterms:W3CDTF">2018-06-15T11:20:00Z</dcterms:modified>
</cp:coreProperties>
</file>