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/>
        <w:t xml:space="preserve"> </w:t>
      </w:r>
      <w:r>
        <w:rPr/>
        <w:t>АКЦИОНЕРНОЕ ОБЩЕСТВО</w:t>
      </w:r>
    </w:p>
    <w:p>
      <w:pPr>
        <w:pStyle w:val="style0"/>
        <w:jc w:val="center"/>
      </w:pPr>
      <w:r>
        <w:rPr/>
        <w:t>«</w:t>
      </w:r>
      <w:r>
        <w:rPr/>
        <w:t>ПЕЧОРСКИЙ ХЛЕБОМАКАРОННЫЙ КОМБИНАТ»</w:t>
      </w:r>
    </w:p>
    <w:p>
      <w:pPr>
        <w:pStyle w:val="style0"/>
        <w:jc w:val="center"/>
      </w:pPr>
      <w:r>
        <w:rPr/>
        <w:t>АО «ПХМК»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bCs/>
          <w:sz w:val="28"/>
          <w:szCs w:val="28"/>
        </w:rPr>
        <w:t>П Р О Т О К О Л</w:t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/>
        <w:t>28.02.2023                                                                                                                                   № 4</w:t>
      </w:r>
    </w:p>
    <w:p>
      <w:pPr>
        <w:pStyle w:val="style0"/>
      </w:pPr>
      <w:r>
        <w:rPr/>
        <w:t>Заседания Совета директоров.</w:t>
      </w:r>
    </w:p>
    <w:p>
      <w:pPr>
        <w:pStyle w:val="style0"/>
      </w:pPr>
      <w:r>
        <w:rPr/>
        <w:t>Место проведения: Республика Коми, г.Печора, ул. Н.Островского, д.69</w:t>
      </w:r>
    </w:p>
    <w:p>
      <w:pPr>
        <w:pStyle w:val="style0"/>
      </w:pPr>
      <w:r>
        <w:rPr/>
        <w:t>Время проведения  10-00 часов</w:t>
      </w:r>
    </w:p>
    <w:p>
      <w:pPr>
        <w:pStyle w:val="style0"/>
      </w:pPr>
      <w:r>
        <w:rPr/>
        <w:t>Присутствовали члены Совета директоров:</w:t>
      </w:r>
    </w:p>
    <w:p>
      <w:pPr>
        <w:pStyle w:val="style0"/>
      </w:pPr>
      <w:r>
        <w:rPr/>
        <w:t>председатель  Горбачёв Юрий Петрович</w:t>
      </w:r>
    </w:p>
    <w:p>
      <w:pPr>
        <w:pStyle w:val="style0"/>
      </w:pPr>
      <w:r>
        <w:rPr/>
        <w:t xml:space="preserve">                        </w:t>
      </w:r>
      <w:r>
        <w:rPr/>
        <w:t>Алексеева Мария Михайловна</w:t>
      </w:r>
    </w:p>
    <w:p>
      <w:pPr>
        <w:pStyle w:val="style0"/>
      </w:pPr>
      <w:r>
        <w:rPr/>
        <w:t xml:space="preserve">                        </w:t>
      </w:r>
      <w:r>
        <w:rPr/>
        <w:t>Лобастова Елена Викторовна</w:t>
      </w:r>
    </w:p>
    <w:p>
      <w:pPr>
        <w:pStyle w:val="style0"/>
      </w:pPr>
      <w:r>
        <w:rPr/>
        <w:t xml:space="preserve">                        </w:t>
      </w:r>
      <w:r>
        <w:rPr/>
        <w:t>Лобастов Алексей Анатольевич</w:t>
      </w:r>
    </w:p>
    <w:p>
      <w:pPr>
        <w:pStyle w:val="style0"/>
      </w:pPr>
      <w:r>
        <w:rPr/>
        <w:t xml:space="preserve">                        </w:t>
      </w:r>
      <w:r>
        <w:rPr/>
        <w:t>Чумаченко Наталья Ивановна</w:t>
      </w:r>
    </w:p>
    <w:p>
      <w:pPr>
        <w:pStyle w:val="style0"/>
      </w:pPr>
      <w:r>
        <w:rPr/>
        <w:t>На заседании Совета директоров присутствуют пять из пяти членов.</w:t>
      </w:r>
    </w:p>
    <w:p>
      <w:pPr>
        <w:pStyle w:val="style0"/>
        <w:jc w:val="both"/>
      </w:pPr>
      <w:r>
        <w:rPr/>
        <w:t>Совет директоров в соответствии с Уставом Общества вправе принимать решения по вопросам повестки дня. В соответствии с Уставом кворум для проведения заседания Совета директоров является присутствие не менее половины от числа избранных членов Совета директоров. Данное условие выполняется, и кворум для проведения заседания имеется.</w:t>
      </w:r>
    </w:p>
    <w:p>
      <w:pPr>
        <w:pStyle w:val="style0"/>
        <w:jc w:val="both"/>
      </w:pPr>
      <w:r>
        <w:rPr/>
        <w:t>Повестка дня:</w:t>
      </w:r>
    </w:p>
    <w:p>
      <w:pPr>
        <w:pStyle w:val="style0"/>
        <w:jc w:val="both"/>
      </w:pPr>
      <w:r>
        <w:rPr/>
        <w:t xml:space="preserve">1. </w:t>
      </w:r>
      <w:r>
        <w:rPr/>
        <w:t>О созыве годового общего собрания акционеров общества:</w:t>
      </w:r>
    </w:p>
    <w:p>
      <w:pPr>
        <w:pStyle w:val="style0"/>
        <w:ind w:hanging="0" w:left="420" w:right="0"/>
        <w:jc w:val="both"/>
      </w:pPr>
      <w:r>
        <w:rPr/>
        <w:t xml:space="preserve">1.1. </w:t>
      </w:r>
      <w:r>
        <w:rPr/>
        <w:t>Вид общего собрания акционеров общества.</w:t>
      </w:r>
    </w:p>
    <w:p>
      <w:pPr>
        <w:pStyle w:val="style0"/>
        <w:ind w:hanging="0" w:left="420" w:right="0"/>
        <w:jc w:val="both"/>
      </w:pPr>
      <w:r>
        <w:rPr/>
        <w:t xml:space="preserve">1.2. </w:t>
      </w:r>
      <w:r>
        <w:rPr/>
        <w:t>Форма проведения годового общего собрания акционеров.</w:t>
      </w:r>
    </w:p>
    <w:p>
      <w:pPr>
        <w:pStyle w:val="style0"/>
        <w:ind w:hanging="0" w:left="420" w:right="0"/>
        <w:jc w:val="both"/>
      </w:pPr>
      <w:r>
        <w:rPr/>
        <w:t xml:space="preserve">1.3. </w:t>
      </w:r>
      <w:r>
        <w:rPr/>
        <w:t>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>
      <w:pPr>
        <w:pStyle w:val="style0"/>
        <w:ind w:hanging="0" w:left="420" w:right="0"/>
        <w:jc w:val="both"/>
      </w:pPr>
      <w:r>
        <w:rPr/>
        <w:t xml:space="preserve">1.4. </w:t>
      </w:r>
      <w:r>
        <w:rPr/>
        <w:t>Время начала регистрации лиц, принимающих участие в общем собрании акционеров.</w:t>
      </w:r>
    </w:p>
    <w:p>
      <w:pPr>
        <w:pStyle w:val="style0"/>
        <w:ind w:hanging="0" w:left="420" w:right="0"/>
        <w:jc w:val="both"/>
      </w:pPr>
      <w:r>
        <w:rPr/>
        <w:t xml:space="preserve">1.5. </w:t>
      </w:r>
      <w:r>
        <w:rPr/>
        <w:t>Определение даты составления списка лиц, имеющих право на участие в общем собрании акционеров.</w:t>
      </w:r>
    </w:p>
    <w:p>
      <w:pPr>
        <w:pStyle w:val="style0"/>
        <w:ind w:hanging="0" w:left="420" w:right="0"/>
        <w:jc w:val="both"/>
      </w:pPr>
      <w:r>
        <w:rPr/>
        <w:t xml:space="preserve">1.6. </w:t>
      </w:r>
      <w:r>
        <w:rPr/>
        <w:t>Определение повестки дня общего собрания.</w:t>
      </w:r>
    </w:p>
    <w:p>
      <w:pPr>
        <w:pStyle w:val="style0"/>
        <w:ind w:hanging="0" w:left="420" w:right="0"/>
        <w:jc w:val="both"/>
      </w:pPr>
      <w:r>
        <w:rPr/>
        <w:t xml:space="preserve">1.7. </w:t>
      </w:r>
      <w:r>
        <w:rPr/>
        <w:t>Предварительное утверждение годового отчета Общества за 2022 год.</w:t>
      </w:r>
    </w:p>
    <w:p>
      <w:pPr>
        <w:pStyle w:val="style0"/>
        <w:ind w:hanging="0" w:left="420" w:right="0"/>
        <w:jc w:val="both"/>
      </w:pPr>
      <w:r>
        <w:rPr/>
        <w:t xml:space="preserve">1.8. </w:t>
      </w:r>
      <w:r>
        <w:rPr/>
        <w:t>Предварительное 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ind w:hanging="0" w:left="360" w:right="0"/>
        <w:jc w:val="both"/>
      </w:pPr>
      <w:r>
        <w:rPr/>
        <w:t xml:space="preserve">1.9. </w:t>
      </w:r>
      <w:r>
        <w:rPr/>
        <w:t>Утверждение кандидатов в Совет директоров, на должность генерального директора, в ревизионную комиссию, в счетную комиссию.</w:t>
      </w:r>
    </w:p>
    <w:p>
      <w:pPr>
        <w:pStyle w:val="style0"/>
        <w:ind w:hanging="0" w:left="360" w:right="0"/>
        <w:jc w:val="both"/>
      </w:pPr>
      <w:r>
        <w:rPr/>
        <w:t xml:space="preserve">1.10. </w:t>
      </w:r>
      <w:r>
        <w:rPr/>
        <w:t>Утверждение предложений в  повестку дня общего годового акционерного собрания.</w:t>
      </w:r>
    </w:p>
    <w:p>
      <w:pPr>
        <w:pStyle w:val="style0"/>
        <w:ind w:hanging="0" w:left="360" w:right="0"/>
        <w:jc w:val="both"/>
      </w:pPr>
      <w:r>
        <w:rPr/>
        <w:t xml:space="preserve">1.11. </w:t>
      </w:r>
      <w:r>
        <w:rPr/>
        <w:t>Рассмотрение кандидатуры аудитора Общества.</w:t>
      </w:r>
    </w:p>
    <w:p>
      <w:pPr>
        <w:pStyle w:val="style0"/>
        <w:ind w:hanging="0" w:left="360" w:right="0"/>
        <w:jc w:val="both"/>
      </w:pPr>
      <w:r>
        <w:rPr/>
        <w:t xml:space="preserve">1.12. </w:t>
      </w:r>
      <w:r>
        <w:rPr/>
        <w:t>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>
      <w:pPr>
        <w:pStyle w:val="style0"/>
        <w:ind w:hanging="0" w:left="420" w:right="0"/>
        <w:jc w:val="both"/>
      </w:pPr>
      <w:r>
        <w:rPr/>
        <w:t xml:space="preserve">1.13. </w:t>
      </w:r>
      <w:r>
        <w:rPr/>
        <w:t>Утверждение формы и текста бюллетеней для голосования на годовом общем собрании акционеров Общества.</w:t>
      </w:r>
    </w:p>
    <w:p>
      <w:pPr>
        <w:pStyle w:val="style0"/>
        <w:ind w:hanging="0" w:left="360" w:right="0"/>
        <w:jc w:val="both"/>
      </w:pPr>
      <w:r>
        <w:rPr/>
        <w:t xml:space="preserve">1.14. </w:t>
      </w:r>
      <w:r>
        <w:rPr/>
        <w:t>Определение порядка сообщения акционерам о проведении общего годового собрания акционеров.</w:t>
      </w:r>
    </w:p>
    <w:p>
      <w:pPr>
        <w:pStyle w:val="style0"/>
        <w:jc w:val="both"/>
      </w:pPr>
      <w:r>
        <w:rPr/>
        <w:t xml:space="preserve">2. </w:t>
      </w:r>
      <w:r>
        <w:rPr/>
        <w:t>Идентификационные признаки акций, владельцы которых имеют право на участие в общем собрании акционеров Общества.</w:t>
      </w:r>
    </w:p>
    <w:p>
      <w:pPr>
        <w:pStyle w:val="style0"/>
        <w:jc w:val="both"/>
      </w:pPr>
      <w:r>
        <w:rPr/>
        <w:t>По вопросам повестки дня выступил председатель Совета директоров Горбачёв Ю. П.          Он предложил в соответствии с Уставом Общества принять решение о созыве годового общего собрания акционеров путем совместного присутствия акционеров для обсуждения вопросов повестки дня и принятия решения по вопросам, поставленным на голосование. Совет директоров по предложению председателя рассмотрел вопросы, связанные с проведением годового общего собрания акционеров, обязательные к рассмотрению Советом директоров в соответствии с требованиями федерального закона «Об акционерных обществах».</w:t>
      </w:r>
    </w:p>
    <w:p>
      <w:pPr>
        <w:pStyle w:val="style0"/>
        <w:jc w:val="both"/>
      </w:pPr>
      <w:r>
        <w:rPr/>
        <w:t>Вопросов к докладчику не поступало.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1.1.: </w:t>
      </w:r>
      <w:r>
        <w:rPr/>
        <w:t xml:space="preserve">Вид общего собрания акционеров общества. </w:t>
      </w:r>
    </w:p>
    <w:p>
      <w:pPr>
        <w:pStyle w:val="style0"/>
        <w:jc w:val="both"/>
      </w:pPr>
      <w:r>
        <w:rPr/>
        <w:t>Вопрос, поставленный на голосование № 1.1.:</w:t>
      </w:r>
    </w:p>
    <w:p>
      <w:pPr>
        <w:pStyle w:val="style0"/>
        <w:jc w:val="both"/>
      </w:pPr>
      <w:r>
        <w:rPr/>
        <w:t>Вид общего собрания акционеров общества годовое (очередное) общее собрание акционеров общества.</w:t>
      </w:r>
    </w:p>
    <w:p>
      <w:pPr>
        <w:pStyle w:val="style0"/>
        <w:jc w:val="both"/>
      </w:pPr>
      <w:r>
        <w:rPr/>
        <w:t xml:space="preserve">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1.1.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Вид общего собрания акционеров общества годовое (очередное) общее собрание акционеров общества.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1.2.: </w:t>
      </w:r>
      <w:r>
        <w:rPr/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>
      <w:pPr>
        <w:pStyle w:val="style0"/>
        <w:jc w:val="both"/>
      </w:pPr>
      <w:r>
        <w:rPr/>
        <w:t>Вопрос, поставлен на голосование № 1.2.:</w:t>
      </w:r>
    </w:p>
    <w:p>
      <w:pPr>
        <w:pStyle w:val="style0"/>
        <w:jc w:val="both"/>
      </w:pPr>
      <w:r>
        <w:rPr/>
        <w:t xml:space="preserve">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1.2.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1.3.: </w:t>
      </w:r>
      <w:r>
        <w:rPr/>
        <w:t>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>
      <w:pPr>
        <w:pStyle w:val="style0"/>
        <w:jc w:val="both"/>
      </w:pPr>
      <w:r>
        <w:rPr/>
        <w:t>Определить дату годового общего собрания акционеров  на 10 апреля 2023 года.</w:t>
      </w:r>
    </w:p>
    <w:p>
      <w:pPr>
        <w:pStyle w:val="style0"/>
        <w:jc w:val="both"/>
      </w:pPr>
      <w:r>
        <w:rPr/>
        <w:t>Определить время проведения годового общего собрания акционеров – 14-00 часов по местному времени.</w:t>
      </w:r>
    </w:p>
    <w:p>
      <w:pPr>
        <w:pStyle w:val="style0"/>
        <w:jc w:val="both"/>
      </w:pPr>
      <w:r>
        <w:rPr/>
        <w:t xml:space="preserve">Определить место проведения  годового общего собрания акционеров – 169600, Республика Коми, г. Печора, ул. Н.Островского, д.69, зал заседаний. </w:t>
      </w:r>
    </w:p>
    <w:p>
      <w:pPr>
        <w:pStyle w:val="style0"/>
        <w:jc w:val="both"/>
      </w:pPr>
      <w:r>
        <w:rPr/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>
      <w:pPr>
        <w:pStyle w:val="style0"/>
        <w:jc w:val="both"/>
      </w:pPr>
      <w:r>
        <w:rPr/>
        <w:t>Вопрос, поставлен на голосование № 1.3.:</w:t>
      </w:r>
    </w:p>
    <w:p>
      <w:pPr>
        <w:pStyle w:val="style0"/>
        <w:jc w:val="both"/>
      </w:pPr>
      <w:r>
        <w:rPr/>
        <w:t xml:space="preserve">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1.3.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Дата проведения годового общего собрания акционеров  10 апреля 2023 года.</w:t>
      </w:r>
    </w:p>
    <w:p>
      <w:pPr>
        <w:pStyle w:val="style0"/>
        <w:jc w:val="both"/>
      </w:pPr>
      <w:r>
        <w:rPr/>
        <w:t>Время проведения годового общего собрания акционеров – 14-00 часов по местному времени.</w:t>
      </w:r>
    </w:p>
    <w:p>
      <w:pPr>
        <w:pStyle w:val="style0"/>
        <w:jc w:val="both"/>
      </w:pPr>
      <w:r>
        <w:rPr/>
        <w:t xml:space="preserve">Место проведения  годового общего собрания акционеров – 169600, Республика Коми, г. Печора, ул. Н.Островского, д.69, зал заседаний. </w:t>
      </w:r>
    </w:p>
    <w:p>
      <w:pPr>
        <w:pStyle w:val="style0"/>
        <w:jc w:val="both"/>
      </w:pPr>
      <w:r>
        <w:rPr/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1.4.: </w:t>
      </w:r>
      <w:r>
        <w:rPr/>
        <w:t>Время начала регистрации лиц, принимающих участие в общем собрании акционеров.</w:t>
      </w:r>
    </w:p>
    <w:p>
      <w:pPr>
        <w:pStyle w:val="style0"/>
        <w:jc w:val="both"/>
      </w:pPr>
      <w:r>
        <w:rPr/>
        <w:t>Определить время начала регистрации лиц, принимающих участие в общем собрании акционеров  на 13-30 часов.</w:t>
      </w:r>
    </w:p>
    <w:p>
      <w:pPr>
        <w:pStyle w:val="style0"/>
        <w:jc w:val="both"/>
      </w:pPr>
      <w:r>
        <w:rPr/>
        <w:t>Вопрос, поставлен на голосование № 1.4.:</w:t>
      </w:r>
    </w:p>
    <w:p>
      <w:pPr>
        <w:pStyle w:val="style0"/>
        <w:jc w:val="both"/>
      </w:pPr>
      <w:r>
        <w:rPr/>
        <w:t xml:space="preserve">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1.4.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Время начала регистрации лиц, принимающих участие в общем собрании акционеров  на 13-30 часов.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1.5.: </w:t>
      </w:r>
      <w:r>
        <w:rPr/>
        <w:t>Определение даты составления списка лиц, имеющих право на участие в общем собрании акционеров.</w:t>
      </w:r>
    </w:p>
    <w:p>
      <w:pPr>
        <w:pStyle w:val="style0"/>
        <w:jc w:val="both"/>
      </w:pPr>
      <w:r>
        <w:rPr/>
        <w:t>Утвердить дату составления списка лиц, имеющих право на участие в общем собрании акционеров Общества  на 16 марта 2023 года.</w:t>
      </w:r>
    </w:p>
    <w:p>
      <w:pPr>
        <w:pStyle w:val="style0"/>
        <w:jc w:val="both"/>
      </w:pPr>
      <w:r>
        <w:rPr/>
        <w:t>Вопрос, поставлен на голосование № 1.5.:</w:t>
      </w:r>
    </w:p>
    <w:p>
      <w:pPr>
        <w:pStyle w:val="style0"/>
        <w:jc w:val="both"/>
      </w:pPr>
      <w:r>
        <w:rPr/>
        <w:t xml:space="preserve"> 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jc w:val="both"/>
      </w:pPr>
      <w:r>
        <w:rPr/>
        <w:t xml:space="preserve">                  «</w:t>
      </w:r>
      <w:r>
        <w:rPr/>
        <w:t>Против» - нет голосов</w:t>
      </w:r>
    </w:p>
    <w:p>
      <w:pPr>
        <w:pStyle w:val="style0"/>
        <w:jc w:val="both"/>
      </w:pPr>
      <w:r>
        <w:rPr/>
        <w:t xml:space="preserve">      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1.5.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 xml:space="preserve">Дата составления списка лиц, имеющих право на участие в общем собрании акционеров Общества 16 марта 2023 года. Список лиц, имеющих право на получение дивидендов, составляется на дату составления списка лиц, имеющих право на участие в общем собрании акционеров. 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1.6.: </w:t>
      </w:r>
      <w:r>
        <w:rPr/>
        <w:t>Определение повестки дня годового общего собрания акционеров Общества.</w:t>
      </w:r>
    </w:p>
    <w:p>
      <w:pPr>
        <w:pStyle w:val="style0"/>
        <w:jc w:val="both"/>
      </w:pPr>
      <w:r>
        <w:rPr/>
        <w:t>Утвердить следующую повестку дня годового общего собрания акционеров Общества:</w:t>
      </w:r>
    </w:p>
    <w:p>
      <w:pPr>
        <w:pStyle w:val="style0"/>
        <w:numPr>
          <w:ilvl w:val="0"/>
          <w:numId w:val="1"/>
        </w:numPr>
        <w:jc w:val="both"/>
      </w:pPr>
      <w:r>
        <w:rPr/>
        <w:t>Утверждение годового отчета о хозяйственной деятельности Общества за 2022 год;</w:t>
      </w:r>
    </w:p>
    <w:p>
      <w:pPr>
        <w:pStyle w:val="style0"/>
        <w:numPr>
          <w:ilvl w:val="0"/>
          <w:numId w:val="1"/>
        </w:numPr>
        <w:jc w:val="both"/>
      </w:pPr>
      <w:bookmarkStart w:id="0" w:name="__DdeLink__972_564438239"/>
      <w:r>
        <w:rPr/>
        <w:t>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bookmarkEnd w:id="0"/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numPr>
          <w:ilvl w:val="0"/>
          <w:numId w:val="1"/>
        </w:numPr>
        <w:jc w:val="both"/>
      </w:pPr>
      <w:r>
        <w:rPr/>
        <w:t>Выборы членов в Совет директоров общества.</w:t>
      </w:r>
    </w:p>
    <w:p>
      <w:pPr>
        <w:pStyle w:val="style0"/>
        <w:numPr>
          <w:ilvl w:val="0"/>
          <w:numId w:val="1"/>
        </w:numPr>
        <w:jc w:val="both"/>
      </w:pPr>
      <w:r>
        <w:rPr/>
        <w:t>Выборы генерального директора общества</w:t>
      </w:r>
    </w:p>
    <w:p>
      <w:pPr>
        <w:pStyle w:val="style0"/>
        <w:numPr>
          <w:ilvl w:val="0"/>
          <w:numId w:val="1"/>
        </w:numPr>
        <w:jc w:val="both"/>
      </w:pPr>
      <w:r>
        <w:rPr/>
        <w:t>Выборы членов ревизионной комиссии общества.</w:t>
      </w:r>
    </w:p>
    <w:p>
      <w:pPr>
        <w:pStyle w:val="style0"/>
        <w:numPr>
          <w:ilvl w:val="0"/>
          <w:numId w:val="1"/>
        </w:numPr>
        <w:jc w:val="both"/>
      </w:pPr>
      <w:r>
        <w:rPr/>
        <w:t>Выборы членов счетной комиссии общества.</w:t>
      </w:r>
    </w:p>
    <w:p>
      <w:pPr>
        <w:pStyle w:val="style0"/>
        <w:numPr>
          <w:ilvl w:val="0"/>
          <w:numId w:val="1"/>
        </w:numPr>
        <w:jc w:val="both"/>
      </w:pPr>
      <w:r>
        <w:rPr/>
        <w:t>Утверждение внешнего аудитора общества.</w:t>
      </w:r>
    </w:p>
    <w:p>
      <w:pPr>
        <w:pStyle w:val="style0"/>
        <w:jc w:val="both"/>
      </w:pPr>
      <w:r>
        <w:rPr/>
        <w:t>Вопрос, поставлен на голосование № 1.6.: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Повестка дня годового общего собрания акционеров Общества:</w:t>
      </w:r>
    </w:p>
    <w:p>
      <w:pPr>
        <w:pStyle w:val="style0"/>
        <w:numPr>
          <w:ilvl w:val="0"/>
          <w:numId w:val="2"/>
        </w:numPr>
        <w:jc w:val="both"/>
      </w:pPr>
      <w:r>
        <w:rPr/>
        <w:t>Утверждение годового отчета о хозяйственной деятельности Общества за 2022 год;</w:t>
      </w:r>
    </w:p>
    <w:p>
      <w:pPr>
        <w:pStyle w:val="style0"/>
        <w:numPr>
          <w:ilvl w:val="0"/>
          <w:numId w:val="2"/>
        </w:numPr>
        <w:jc w:val="both"/>
      </w:pPr>
      <w:r>
        <w:rPr/>
        <w:t>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numPr>
          <w:ilvl w:val="0"/>
          <w:numId w:val="2"/>
        </w:numPr>
        <w:jc w:val="both"/>
      </w:pPr>
      <w:r>
        <w:rPr/>
        <w:t>Выборы членов в Совет директоров общества.</w:t>
      </w:r>
    </w:p>
    <w:p>
      <w:pPr>
        <w:pStyle w:val="style0"/>
        <w:numPr>
          <w:ilvl w:val="0"/>
          <w:numId w:val="2"/>
        </w:numPr>
        <w:jc w:val="both"/>
      </w:pPr>
      <w:r>
        <w:rPr/>
        <w:t>Выборы генерального директора общества</w:t>
      </w:r>
    </w:p>
    <w:p>
      <w:pPr>
        <w:pStyle w:val="style0"/>
        <w:numPr>
          <w:ilvl w:val="0"/>
          <w:numId w:val="2"/>
        </w:numPr>
        <w:jc w:val="both"/>
      </w:pPr>
      <w:r>
        <w:rPr/>
        <w:t>Выборы членов ревизионной комиссии общества.</w:t>
      </w:r>
    </w:p>
    <w:p>
      <w:pPr>
        <w:pStyle w:val="style0"/>
        <w:numPr>
          <w:ilvl w:val="0"/>
          <w:numId w:val="2"/>
        </w:numPr>
        <w:jc w:val="both"/>
      </w:pPr>
      <w:r>
        <w:rPr/>
        <w:t>Выборы членов счетной комиссии общества.</w:t>
      </w:r>
    </w:p>
    <w:p>
      <w:pPr>
        <w:pStyle w:val="style0"/>
        <w:numPr>
          <w:ilvl w:val="0"/>
          <w:numId w:val="2"/>
        </w:numPr>
        <w:jc w:val="both"/>
      </w:pPr>
      <w:r>
        <w:rPr/>
        <w:t>Утверждение внешнего аудитора общества.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1.7.: </w:t>
      </w:r>
      <w:r>
        <w:rPr/>
        <w:t>Предварительное утверждение годового отчета Общества по итогам 2022 финансового года.</w:t>
      </w:r>
    </w:p>
    <w:p>
      <w:pPr>
        <w:pStyle w:val="style0"/>
        <w:suppressAutoHyphens w:val="false"/>
        <w:jc w:val="both"/>
      </w:pPr>
      <w:r>
        <w:rPr>
          <w:lang w:eastAsia="ru-RU"/>
        </w:rPr>
        <w:t>Предварительно утвердить годовой отчет Общества за 2022 год. Рекомендовать годовому Общему собранию акционеров Общества утвердить годовой отчет Общества.</w:t>
      </w:r>
    </w:p>
    <w:p>
      <w:pPr>
        <w:pStyle w:val="style0"/>
        <w:jc w:val="both"/>
      </w:pPr>
      <w:r>
        <w:rPr/>
        <w:t>Вопрос, поставлен на голосование № 1.7.:</w:t>
      </w:r>
    </w:p>
    <w:p>
      <w:pPr>
        <w:pStyle w:val="style0"/>
        <w:jc w:val="both"/>
      </w:pPr>
      <w:r>
        <w:rPr/>
        <w:t xml:space="preserve">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jc w:val="both"/>
      </w:pPr>
      <w:r>
        <w:rPr/>
        <w:t xml:space="preserve">                   «</w:t>
      </w:r>
      <w:r>
        <w:rPr/>
        <w:t>Против» - нет голосов</w:t>
      </w:r>
    </w:p>
    <w:p>
      <w:pPr>
        <w:pStyle w:val="style0"/>
        <w:jc w:val="both"/>
      </w:pPr>
      <w:r>
        <w:rPr/>
        <w:t xml:space="preserve">       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1.7.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suppressAutoHyphens w:val="false"/>
        <w:jc w:val="both"/>
      </w:pPr>
      <w:r>
        <w:rPr>
          <w:lang w:eastAsia="ru-RU"/>
        </w:rPr>
        <w:t>Предварительно утвердить годовой отчет Общества за 2022 год. Рекомендовать годовому Общему собранию акционеров Общества утвердить годовой отчет Общества.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1.8.: </w:t>
      </w:r>
      <w:r>
        <w:rPr/>
        <w:t>Предварительное 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jc w:val="both"/>
      </w:pPr>
      <w:r>
        <w:rPr/>
        <w:t>Вопрос, поставленный на голосование № 1.8.:</w:t>
      </w:r>
    </w:p>
    <w:p>
      <w:pPr>
        <w:pStyle w:val="style0"/>
        <w:jc w:val="both"/>
      </w:pPr>
      <w:r>
        <w:rPr/>
        <w:t>Предварительно 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jc w:val="both"/>
      </w:pPr>
      <w:r>
        <w:rPr/>
        <w:t xml:space="preserve">       </w:t>
      </w: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jc w:val="both"/>
      </w:pPr>
      <w:r>
        <w:rPr/>
        <w:t xml:space="preserve">                  «</w:t>
      </w:r>
      <w:r>
        <w:rPr/>
        <w:t>Против» - нет голосов</w:t>
      </w:r>
    </w:p>
    <w:p>
      <w:pPr>
        <w:pStyle w:val="style0"/>
        <w:jc w:val="both"/>
      </w:pPr>
      <w:r>
        <w:rPr/>
        <w:t xml:space="preserve">      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/>
        <w:t>По вопросу повестки дня № 1.8. членами Совета директоров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Предварительно утверждение годовой бухгалтерской отчетности за  2022 год, в том числе отчет о финансовых результатах</w:t>
      </w:r>
      <w:r>
        <w:rPr>
          <w:b/>
          <w:bCs/>
        </w:rPr>
        <w:t xml:space="preserve"> </w:t>
      </w:r>
      <w:r>
        <w:rPr/>
        <w:t xml:space="preserve">общества, также распределение прибыли, в том числе выплата дивидендов. 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1.9.: </w:t>
      </w:r>
      <w:r>
        <w:rPr/>
        <w:t>Утверждение кандидатов в Совет директоров, на должность генерального директора, в ревизионную комиссию, в счетную комиссию.</w:t>
      </w:r>
    </w:p>
    <w:p>
      <w:pPr>
        <w:pStyle w:val="style0"/>
        <w:jc w:val="both"/>
      </w:pPr>
      <w:r>
        <w:rPr/>
        <w:t xml:space="preserve">В Совет директоров предложены следующие кандидатуры: </w:t>
      </w:r>
    </w:p>
    <w:p>
      <w:pPr>
        <w:pStyle w:val="style0"/>
        <w:jc w:val="both"/>
      </w:pPr>
      <w:r>
        <w:rPr/>
        <w:t xml:space="preserve">Алексеева Мария Михайловна  зам. главного бухгалтера АО «ПХМК», </w:t>
      </w:r>
    </w:p>
    <w:p>
      <w:pPr>
        <w:pStyle w:val="style0"/>
        <w:jc w:val="both"/>
      </w:pPr>
      <w:r>
        <w:rPr/>
        <w:t xml:space="preserve">Лобастов Алексей Анатольевич, </w:t>
      </w:r>
    </w:p>
    <w:p>
      <w:pPr>
        <w:pStyle w:val="style0"/>
        <w:jc w:val="both"/>
      </w:pPr>
      <w:r>
        <w:rPr/>
        <w:t>Лобастова Елена Викторовна  генеральный директор АО «ПХМК»,</w:t>
      </w:r>
    </w:p>
    <w:p>
      <w:pPr>
        <w:pStyle w:val="style0"/>
        <w:jc w:val="both"/>
      </w:pPr>
      <w:r>
        <w:rPr/>
        <w:t xml:space="preserve">Горбачёв Юрий Петрович главный инженер АО «ПХМК», </w:t>
      </w:r>
    </w:p>
    <w:p>
      <w:pPr>
        <w:pStyle w:val="style0"/>
        <w:jc w:val="both"/>
      </w:pPr>
      <w:r>
        <w:rPr/>
        <w:t xml:space="preserve">Чумаченко Наталья Ивановна начальник цеха АО «ПХМК». </w:t>
      </w:r>
    </w:p>
    <w:p>
      <w:pPr>
        <w:pStyle w:val="style0"/>
        <w:jc w:val="both"/>
      </w:pPr>
      <w:r>
        <w:rPr/>
        <w:t xml:space="preserve">Все кандидаты дали свое письменное согласие на участие в выборах. 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>
          <w:rFonts w:ascii="TimesET Cyr" w:cs="TimesET Cyr" w:hAnsi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cs="TimesET" w:hAnsi="TimesET"/>
        </w:rPr>
        <w:t xml:space="preserve">                  </w:t>
      </w:r>
      <w:r>
        <w:rPr>
          <w:rFonts w:ascii="TimesET Cyr" w:cs="TimesET Cyr" w:hAnsi="TimesET Cyr"/>
        </w:rPr>
        <w:t>АО «ПХМК</w:t>
      </w:r>
      <w:r>
        <w:rPr>
          <w:rFonts w:ascii="TimesET" w:cs="TimesET" w:hAnsi="TimesET"/>
        </w:rPr>
        <w:t>»:</w:t>
      </w:r>
    </w:p>
    <w:p>
      <w:pPr>
        <w:pStyle w:val="style0"/>
        <w:jc w:val="both"/>
      </w:pPr>
      <w:r>
        <w:rPr/>
        <w:t xml:space="preserve">Алексееву Марию Михайловну  зам. главного бухгалтера АО «ПХМК», </w:t>
      </w:r>
    </w:p>
    <w:p>
      <w:pPr>
        <w:pStyle w:val="style0"/>
        <w:jc w:val="both"/>
      </w:pPr>
      <w:r>
        <w:rPr/>
        <w:t xml:space="preserve">Лобастова Алексея  Анатольевича, </w:t>
      </w:r>
    </w:p>
    <w:p>
      <w:pPr>
        <w:pStyle w:val="style0"/>
        <w:jc w:val="both"/>
      </w:pPr>
      <w:r>
        <w:rPr/>
        <w:t>Лобастову Елену Викторовну  генерального директора АО «ПХМК»,</w:t>
      </w:r>
    </w:p>
    <w:p>
      <w:pPr>
        <w:pStyle w:val="style0"/>
        <w:jc w:val="both"/>
      </w:pPr>
      <w:r>
        <w:rPr/>
        <w:t xml:space="preserve">Горбачёва Юрия Петровича главного инженера АО «ПХМК», </w:t>
      </w:r>
    </w:p>
    <w:p>
      <w:pPr>
        <w:pStyle w:val="style0"/>
        <w:jc w:val="both"/>
      </w:pPr>
      <w:r>
        <w:rPr/>
        <w:t xml:space="preserve">Чумаченко Наталью Ивановну начальника цеха АО «ПХМК». </w:t>
      </w:r>
    </w:p>
    <w:p>
      <w:pPr>
        <w:pStyle w:val="style0"/>
        <w:jc w:val="both"/>
      </w:pPr>
      <w:r>
        <w:rPr>
          <w:b w:val="false"/>
          <w:bCs w:val="false"/>
        </w:rPr>
        <w:t xml:space="preserve">На должность генерального директора АО «ПХМК» предложены следующие кандидатуры: </w:t>
      </w:r>
    </w:p>
    <w:p>
      <w:pPr>
        <w:pStyle w:val="style0"/>
        <w:jc w:val="both"/>
      </w:pPr>
      <w:r>
        <w:rPr/>
        <w:t>Лобастова Елена Викторовна</w:t>
      </w:r>
    </w:p>
    <w:p>
      <w:pPr>
        <w:pStyle w:val="style0"/>
        <w:jc w:val="both"/>
      </w:pPr>
      <w:r>
        <w:rPr/>
        <w:t xml:space="preserve">Все кандидаты дали свое письменное согласие на участие в выборах. 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bookmarkStart w:id="1" w:name="__DdeLink__570_1299738200"/>
      <w:bookmarkEnd w:id="1"/>
      <w:r>
        <w:rPr>
          <w:rFonts w:ascii="TimesET Cyr" w:cs="TimesET Cyr" w:hAnsi="TimesET Cyr"/>
        </w:rPr>
        <w:t>Включить в список кандидатур для голосования по выборам генерального директора АО «ПХМК» Лобастову Елену Викторовну.</w:t>
      </w:r>
    </w:p>
    <w:p>
      <w:pPr>
        <w:pStyle w:val="style0"/>
        <w:jc w:val="both"/>
      </w:pPr>
      <w:r>
        <w:rPr>
          <w:b w:val="false"/>
          <w:bCs w:val="false"/>
        </w:rPr>
        <w:t xml:space="preserve">В ревизионную комиссию предложены следующие кандидатуры: </w:t>
      </w:r>
    </w:p>
    <w:p>
      <w:pPr>
        <w:pStyle w:val="style0"/>
        <w:jc w:val="both"/>
      </w:pPr>
      <w:r>
        <w:rPr/>
        <w:t>Алова Марина Юрьевна инженер по ОТ и ТБ  АО «ПХМК»,</w:t>
      </w:r>
    </w:p>
    <w:p>
      <w:pPr>
        <w:pStyle w:val="style0"/>
        <w:jc w:val="both"/>
      </w:pPr>
      <w:r>
        <w:rPr/>
        <w:t xml:space="preserve">Видова  Елена Федоровна  главного технолога АО «ПХМК», </w:t>
      </w:r>
    </w:p>
    <w:p>
      <w:pPr>
        <w:pStyle w:val="style0"/>
        <w:jc w:val="both"/>
      </w:pPr>
      <w:r>
        <w:rPr/>
        <w:t xml:space="preserve">Маренюк Вероника Ивановна  мастер АО «ПХМК»,               </w:t>
      </w:r>
    </w:p>
    <w:p>
      <w:pPr>
        <w:pStyle w:val="style0"/>
        <w:jc w:val="both"/>
      </w:pPr>
      <w:r>
        <w:rPr/>
        <w:t xml:space="preserve">Все кандидаты дали свое письменное согласие на участие в выборах. 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«</w:t>
      </w:r>
      <w:r>
        <w:rPr/>
        <w:t>Против» - нет голосов</w:t>
      </w:r>
    </w:p>
    <w:p>
      <w:pPr>
        <w:pStyle w:val="style0"/>
        <w:jc w:val="both"/>
      </w:pPr>
      <w:r>
        <w:rPr/>
        <w:t xml:space="preserve">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>
          <w:rFonts w:ascii="TimesET Cyr" w:cs="TimesET Cyr" w:hAnsi="TimesET Cyr"/>
        </w:rPr>
        <w:t>Включить в список кандидатур для голосования по выборам в ревизионную комиссию</w:t>
      </w:r>
      <w:r>
        <w:rPr>
          <w:rFonts w:ascii="TimesET" w:cs="TimesET" w:hAnsi="TimesET"/>
        </w:rPr>
        <w:t xml:space="preserve">           </w:t>
      </w:r>
      <w:r>
        <w:rPr>
          <w:rFonts w:ascii="TimesET Cyr" w:cs="TimesET Cyr" w:hAnsi="TimesET Cyr"/>
        </w:rPr>
        <w:t>АО «ПХМК</w:t>
      </w:r>
      <w:r>
        <w:rPr>
          <w:rFonts w:ascii="TimesET" w:cs="TimesET" w:hAnsi="TimesET"/>
        </w:rPr>
        <w:t>»:</w:t>
      </w:r>
    </w:p>
    <w:p>
      <w:pPr>
        <w:pStyle w:val="style0"/>
        <w:jc w:val="both"/>
      </w:pPr>
      <w:r>
        <w:rPr>
          <w:rFonts w:ascii="TimesET Cyr" w:cs="TimesET Cyr" w:hAnsi="TimesET Cyr"/>
        </w:rPr>
        <w:t xml:space="preserve">Алову Марину Юрьевну  </w:t>
      </w:r>
      <w:r>
        <w:rPr/>
        <w:t>инженера по ОТ и ТБ АО «ПХМК»,</w:t>
      </w:r>
    </w:p>
    <w:p>
      <w:pPr>
        <w:pStyle w:val="style0"/>
        <w:jc w:val="both"/>
      </w:pPr>
      <w:r>
        <w:rPr/>
        <w:t xml:space="preserve">Видову  Елену Федоровну  главного технолога АО «ПХМК», </w:t>
      </w:r>
    </w:p>
    <w:p>
      <w:pPr>
        <w:pStyle w:val="style0"/>
        <w:jc w:val="both"/>
      </w:pPr>
      <w:r>
        <w:rPr/>
        <w:t xml:space="preserve">Маренюк Веронику Ивановну  мастера АО «ПХМК».               </w:t>
      </w:r>
    </w:p>
    <w:p>
      <w:pPr>
        <w:pStyle w:val="style0"/>
        <w:jc w:val="both"/>
      </w:pPr>
      <w:r>
        <w:rPr>
          <w:b/>
          <w:bCs/>
        </w:rPr>
        <w:t xml:space="preserve">В счетную комиссию предложены следующие кандидатуры: </w:t>
      </w:r>
    </w:p>
    <w:p>
      <w:pPr>
        <w:pStyle w:val="style0"/>
        <w:jc w:val="both"/>
      </w:pPr>
      <w:r>
        <w:rPr/>
        <w:t>Вокуева Валентина Николаевна рабочая АО «ПХМК»,</w:t>
      </w:r>
    </w:p>
    <w:p>
      <w:pPr>
        <w:pStyle w:val="style0"/>
        <w:jc w:val="both"/>
      </w:pPr>
      <w:r>
        <w:rPr/>
        <w:t xml:space="preserve">Иванова Ульяна Юрьевна   продавец  АО «ПХМК», </w:t>
      </w:r>
    </w:p>
    <w:p>
      <w:pPr>
        <w:pStyle w:val="style0"/>
        <w:jc w:val="both"/>
      </w:pPr>
      <w:r>
        <w:rPr/>
        <w:t>Гумбина Ольга Ильинична зав.складом АО «ПХМК»,</w:t>
      </w:r>
    </w:p>
    <w:p>
      <w:pPr>
        <w:pStyle w:val="style0"/>
        <w:jc w:val="both"/>
      </w:pPr>
      <w:r>
        <w:rPr/>
        <w:t>Скорябкина Мария Ивановна рабочая АО «ПХМК»,</w:t>
      </w:r>
    </w:p>
    <w:p>
      <w:pPr>
        <w:pStyle w:val="style0"/>
        <w:jc w:val="both"/>
      </w:pPr>
      <w:r>
        <w:rPr/>
        <w:t xml:space="preserve">Федотова Людмила Прокопьевна бухгалтер АО «ПХМК». </w:t>
      </w:r>
    </w:p>
    <w:p>
      <w:pPr>
        <w:pStyle w:val="style0"/>
        <w:jc w:val="both"/>
      </w:pPr>
      <w:r>
        <w:rPr/>
        <w:t xml:space="preserve">Все кандидаты дали свое письменное согласие на участие в выборах. 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>
          <w:rFonts w:ascii="TimesET Cyr" w:cs="TimesET Cyr" w:hAnsi="TimesET Cyr"/>
        </w:rPr>
        <w:t>Включить в список кандидатур для голосования по выборам в счетную комиссию</w:t>
      </w:r>
      <w:r>
        <w:rPr>
          <w:rFonts w:ascii="TimesET" w:cs="TimesET" w:hAnsi="TimesET"/>
        </w:rPr>
        <w:t xml:space="preserve">           </w:t>
      </w:r>
      <w:r>
        <w:rPr>
          <w:rFonts w:ascii="TimesET Cyr" w:cs="TimesET Cyr" w:hAnsi="TimesET Cyr"/>
        </w:rPr>
        <w:t>АО «ПХМК</w:t>
      </w:r>
      <w:r>
        <w:rPr>
          <w:rFonts w:ascii="TimesET" w:cs="TimesET" w:hAnsi="TimesET"/>
        </w:rPr>
        <w:t>»:</w:t>
      </w:r>
    </w:p>
    <w:p>
      <w:pPr>
        <w:pStyle w:val="style0"/>
        <w:jc w:val="both"/>
      </w:pPr>
      <w:r>
        <w:rPr/>
        <w:t>Вокуеву Валентину Николаевну рабочую АО «ПХМК»,</w:t>
      </w:r>
    </w:p>
    <w:p>
      <w:pPr>
        <w:pStyle w:val="style0"/>
        <w:jc w:val="both"/>
      </w:pPr>
      <w:r>
        <w:rPr/>
        <w:t xml:space="preserve">Иванову Ульяну Юрьевну   продавеца  АО «ПХМК», </w:t>
      </w:r>
    </w:p>
    <w:p>
      <w:pPr>
        <w:pStyle w:val="style0"/>
        <w:jc w:val="both"/>
      </w:pPr>
      <w:r>
        <w:rPr/>
        <w:t>Гумбину Ольгу Ильиничну зав. складом АО «ПХМК»,</w:t>
      </w:r>
    </w:p>
    <w:p>
      <w:pPr>
        <w:pStyle w:val="style0"/>
        <w:jc w:val="both"/>
      </w:pPr>
      <w:r>
        <w:rPr/>
        <w:t>Скорябкину Марию Ивановну рабочую АО «ПХМК»,</w:t>
      </w:r>
    </w:p>
    <w:p>
      <w:pPr>
        <w:pStyle w:val="style0"/>
        <w:jc w:val="both"/>
      </w:pPr>
      <w:r>
        <w:rPr/>
        <w:t>Федотову Людмилу Прокопьевну бухгалтера АО «ПХМК».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1.10.: </w:t>
      </w:r>
      <w:r>
        <w:rPr/>
        <w:t>Утверждение предложений в  повестку дня общего годового акционерного собрания.</w:t>
      </w:r>
    </w:p>
    <w:p>
      <w:pPr>
        <w:pStyle w:val="style0"/>
        <w:jc w:val="both"/>
      </w:pPr>
      <w:r>
        <w:rPr/>
        <w:t>Предложений в  повестку дня годового общего собрания акционеров от акционеров не поступало.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1.11.: </w:t>
      </w:r>
      <w:r>
        <w:rPr/>
        <w:t>Рассмотрение кандидатуры аудитора Общества.</w:t>
      </w:r>
    </w:p>
    <w:p>
      <w:pPr>
        <w:pStyle w:val="style0"/>
        <w:jc w:val="both"/>
      </w:pPr>
      <w:r>
        <w:rPr/>
        <w:t>Вопрос, поставленный на голосование № 1.11.:</w:t>
      </w:r>
    </w:p>
    <w:p>
      <w:pPr>
        <w:pStyle w:val="style0"/>
        <w:jc w:val="both"/>
      </w:pPr>
      <w:r>
        <w:rPr/>
        <w:t>Предложить годовому общему собранию акционеров рассмотреть следующую кандидатуру аудитора Общества:</w:t>
      </w:r>
    </w:p>
    <w:p>
      <w:pPr>
        <w:pStyle w:val="style0"/>
        <w:jc w:val="both"/>
      </w:pPr>
      <w:r>
        <w:rPr/>
        <w:t xml:space="preserve">- </w:t>
      </w:r>
      <w:r>
        <w:rPr/>
        <w:t>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Предложить годовому общему собранию акционеров рассмотреть следующую кандидатуру аудитора Общества:</w:t>
      </w:r>
    </w:p>
    <w:p>
      <w:pPr>
        <w:pStyle w:val="style0"/>
        <w:jc w:val="both"/>
      </w:pPr>
      <w:r>
        <w:rPr/>
        <w:t xml:space="preserve">- </w:t>
      </w:r>
      <w:r>
        <w:rPr/>
        <w:t>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1.12.: </w:t>
      </w:r>
      <w:r>
        <w:rPr/>
        <w:t>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>
      <w:pPr>
        <w:pStyle w:val="style0"/>
        <w:jc w:val="both"/>
      </w:pPr>
      <w:r>
        <w:rPr/>
        <w:t>Вопрос, поставленный на голосование № 1.12.:</w:t>
      </w:r>
    </w:p>
    <w:p>
      <w:pPr>
        <w:pStyle w:val="style0"/>
        <w:jc w:val="both"/>
      </w:pPr>
      <w:r>
        <w:rPr/>
        <w:t xml:space="preserve">1. </w:t>
      </w:r>
      <w:r>
        <w:rPr/>
        <w:t>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>
      <w:pPr>
        <w:pStyle w:val="style0"/>
        <w:ind w:hanging="0" w:left="284" w:right="0"/>
        <w:jc w:val="both"/>
      </w:pPr>
      <w:r>
        <w:rPr/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>
      <w:pPr>
        <w:pStyle w:val="style0"/>
        <w:ind w:hanging="0" w:left="284" w:right="0"/>
        <w:jc w:val="both"/>
      </w:pPr>
      <w:r>
        <w:rPr>
          <w:lang w:eastAsia="ru-RU"/>
        </w:rPr>
        <w:t xml:space="preserve">  2) </w:t>
      </w:r>
      <w:r>
        <w:rPr>
          <w:lang w:eastAsia="ru-RU"/>
        </w:rPr>
        <w:t xml:space="preserve">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>
      <w:pPr>
        <w:pStyle w:val="style0"/>
        <w:ind w:hanging="0" w:left="284" w:right="0"/>
        <w:jc w:val="both"/>
      </w:pPr>
      <w:r>
        <w:rPr>
          <w:lang w:eastAsia="ru-RU"/>
        </w:rPr>
        <w:t xml:space="preserve">  3) </w:t>
      </w:r>
      <w:r>
        <w:rPr>
          <w:lang w:eastAsia="ru-RU"/>
        </w:rPr>
        <w:t xml:space="preserve">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>
      <w:pPr>
        <w:pStyle w:val="style0"/>
        <w:ind w:hanging="0" w:left="-76" w:right="0"/>
        <w:jc w:val="both"/>
      </w:pPr>
      <w:r>
        <w:rPr/>
        <w:t xml:space="preserve">          4)  </w:t>
      </w:r>
      <w:r>
        <w:rPr/>
        <w:t>сведения о кандидатуре аудитора Общества;</w:t>
      </w:r>
    </w:p>
    <w:p>
      <w:pPr>
        <w:pStyle w:val="style0"/>
        <w:ind w:hanging="0" w:left="284" w:right="0"/>
        <w:jc w:val="both"/>
      </w:pPr>
      <w:r>
        <w:rPr/>
        <w:t xml:space="preserve">  5) </w:t>
      </w:r>
      <w:r>
        <w:rPr/>
        <w:t>рекомендации Совета директоров по распределению прибыли, в том числе по размеру дивидендов по акциям Общества;</w:t>
      </w:r>
    </w:p>
    <w:p>
      <w:pPr>
        <w:pStyle w:val="style0"/>
        <w:jc w:val="both"/>
      </w:pPr>
      <w:r>
        <w:rPr/>
        <w:t xml:space="preserve">2. </w:t>
      </w:r>
      <w:r>
        <w:rPr/>
        <w:t>Установить, что с указанной информацией (материалами), лица, имеющие право на участие в годовом общем собрании акционеров могут ознакомиться в период с 16.03.2023 по 10.04.2023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 xml:space="preserve">1. </w:t>
      </w:r>
      <w:r>
        <w:rPr/>
        <w:t>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>
      <w:pPr>
        <w:pStyle w:val="style0"/>
        <w:ind w:hanging="0" w:left="284" w:right="0"/>
        <w:jc w:val="both"/>
      </w:pPr>
      <w:r>
        <w:rPr/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>
      <w:pPr>
        <w:pStyle w:val="style0"/>
        <w:ind w:hanging="0" w:left="284" w:right="0"/>
        <w:jc w:val="both"/>
      </w:pPr>
      <w:r>
        <w:rPr>
          <w:lang w:eastAsia="ru-RU"/>
        </w:rPr>
        <w:t xml:space="preserve">      2) </w:t>
      </w:r>
      <w:r>
        <w:rPr>
          <w:lang w:eastAsia="ru-RU"/>
        </w:rPr>
        <w:t xml:space="preserve">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>
      <w:pPr>
        <w:pStyle w:val="style0"/>
        <w:ind w:hanging="0" w:left="284" w:right="0"/>
        <w:jc w:val="both"/>
      </w:pPr>
      <w:r>
        <w:rPr>
          <w:lang w:eastAsia="ru-RU"/>
        </w:rPr>
        <w:t xml:space="preserve">     3) </w:t>
      </w:r>
      <w:r>
        <w:rPr>
          <w:lang w:eastAsia="ru-RU"/>
        </w:rPr>
        <w:t xml:space="preserve">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>
      <w:pPr>
        <w:pStyle w:val="style0"/>
        <w:ind w:hanging="0" w:left="-76" w:right="0"/>
        <w:jc w:val="both"/>
      </w:pPr>
      <w:r>
        <w:rPr/>
        <w:t xml:space="preserve">           4)  </w:t>
      </w:r>
      <w:r>
        <w:rPr/>
        <w:t>сведения о кандидатуре аудитора Общества;</w:t>
      </w:r>
    </w:p>
    <w:p>
      <w:pPr>
        <w:pStyle w:val="style0"/>
        <w:ind w:hanging="0" w:left="284" w:right="0"/>
        <w:jc w:val="both"/>
      </w:pPr>
      <w:r>
        <w:rPr/>
        <w:t xml:space="preserve">     5) </w:t>
      </w:r>
      <w:r>
        <w:rPr/>
        <w:t>рекомендации Совета директоров по распределению прибыли, в том числе по размеру дивидендов по акциям Общества.</w:t>
      </w:r>
    </w:p>
    <w:p>
      <w:pPr>
        <w:pStyle w:val="style0"/>
        <w:jc w:val="both"/>
      </w:pPr>
      <w:r>
        <w:rPr/>
        <w:t xml:space="preserve">2. </w:t>
      </w:r>
      <w:r>
        <w:rPr/>
        <w:t>С указанной информацией (материалами), лица, имеющие право на участие в годовом общем собрании акционеров могут ознакомиться в период с 16.03.2023 по 10.04.2023              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1.13.: </w:t>
      </w:r>
      <w:r>
        <w:rPr/>
        <w:t>Утверждение формы и текста бюллетеней для голосования на годовом Общем собрании акционеров Общества.</w:t>
      </w:r>
    </w:p>
    <w:p>
      <w:pPr>
        <w:pStyle w:val="style0"/>
        <w:jc w:val="both"/>
      </w:pPr>
      <w:r>
        <w:rPr/>
        <w:t>Вопрос, поставленный на голосование № 1.13.:</w:t>
      </w:r>
    </w:p>
    <w:p>
      <w:pPr>
        <w:pStyle w:val="style0"/>
        <w:jc w:val="both"/>
      </w:pPr>
      <w:r>
        <w:rPr/>
        <w:t>Утвердить форму и текст бюллетеней для голосования на годовом общем собрании акционеров в соответствии  Приложения № 1.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>Утвердить форму и текст бюллетеней для голосования на годовом общем собрании акционеров в соответствии  Приложения № 1.</w:t>
      </w:r>
    </w:p>
    <w:p>
      <w:pPr>
        <w:pStyle w:val="style0"/>
        <w:jc w:val="both"/>
      </w:pPr>
      <w:r>
        <w:rPr>
          <w:b/>
          <w:bCs/>
        </w:rPr>
        <w:t xml:space="preserve">Вопрос повестки дня № 1.14.: </w:t>
      </w:r>
      <w:r>
        <w:rPr/>
        <w:t>Определение порядка сообщения акционерам о проведении общего годового собрания акционеров.</w:t>
      </w:r>
    </w:p>
    <w:p>
      <w:pPr>
        <w:pStyle w:val="style0"/>
        <w:jc w:val="both"/>
      </w:pPr>
      <w:r>
        <w:rPr/>
        <w:t>Вопрос, поставленный на голосование № 1.12.:</w:t>
      </w:r>
    </w:p>
    <w:p>
      <w:pPr>
        <w:pStyle w:val="style0"/>
        <w:jc w:val="both"/>
      </w:pPr>
      <w:r>
        <w:rPr/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>
      <w:pPr>
        <w:pStyle w:val="style0"/>
        <w:jc w:val="both"/>
      </w:pPr>
      <w:r>
        <w:rPr/>
        <w:t>Сообщение акционерам о проведении общего годового собрания                            акционеров поместить в местном печатном издании ООО «ТРК «Волна-плюс», опубликование в ленте новостей  и на странице в сети Интернет www.disclosure.ru/issuer/1105003554/index.shtml до 20 марта 2023 года.</w:t>
      </w:r>
    </w:p>
    <w:p>
      <w:pPr>
        <w:pStyle w:val="style0"/>
        <w:ind w:hanging="0" w:left="360" w:right="0"/>
        <w:jc w:val="both"/>
      </w:pPr>
      <w:r>
        <w:rPr/>
        <w:t>Итоги голосования: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Горбачёв Ю.П.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 А.А.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Лобастова Е.В.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Алексеева М.М.</w:t>
      </w:r>
    </w:p>
    <w:p>
      <w:pPr>
        <w:pStyle w:val="style0"/>
        <w:ind w:hanging="0" w:left="360" w:right="0"/>
        <w:jc w:val="both"/>
      </w:pPr>
      <w:r>
        <w:rPr/>
        <w:t>«</w:t>
      </w:r>
      <w:r>
        <w:rPr/>
        <w:t>ЗА» - Чумаченко Н.И.</w:t>
      </w:r>
    </w:p>
    <w:p>
      <w:pPr>
        <w:pStyle w:val="style0"/>
        <w:ind w:hanging="0" w:left="360" w:right="0"/>
        <w:jc w:val="both"/>
      </w:pPr>
      <w:r>
        <w:rPr/>
        <w:t>Итого: «ЗА» - пять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Против» - нет голосов</w:t>
      </w:r>
    </w:p>
    <w:p>
      <w:pPr>
        <w:pStyle w:val="style0"/>
        <w:ind w:hanging="0" w:left="360" w:right="0"/>
        <w:jc w:val="both"/>
      </w:pPr>
      <w:r>
        <w:rPr/>
        <w:t xml:space="preserve">            «</w:t>
      </w:r>
      <w:r>
        <w:rPr/>
        <w:t>Воздержался» - нет голосов</w:t>
      </w:r>
    </w:p>
    <w:p>
      <w:pPr>
        <w:pStyle w:val="style0"/>
        <w:suppressAutoHyphens w:val="false"/>
        <w:jc w:val="both"/>
      </w:pPr>
      <w:r>
        <w:rPr>
          <w:lang w:eastAsia="ru-RU"/>
        </w:rPr>
        <w:t xml:space="preserve">По </w:t>
      </w:r>
      <w:r>
        <w:rPr/>
        <w:t xml:space="preserve">вопросу </w:t>
      </w:r>
      <w:r>
        <w:rPr>
          <w:lang w:eastAsia="ru-RU"/>
        </w:rPr>
        <w:t xml:space="preserve"> предлагаемое решение принято единогласно.</w:t>
      </w:r>
    </w:p>
    <w:p>
      <w:pPr>
        <w:pStyle w:val="style0"/>
        <w:jc w:val="both"/>
      </w:pPr>
      <w:r>
        <w:rPr>
          <w:b/>
          <w:bCs/>
        </w:rPr>
        <w:t>Принятое решение:</w:t>
      </w:r>
    </w:p>
    <w:p>
      <w:pPr>
        <w:pStyle w:val="style0"/>
        <w:jc w:val="both"/>
      </w:pPr>
      <w:r>
        <w:rPr/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>
      <w:pPr>
        <w:pStyle w:val="style0"/>
        <w:jc w:val="both"/>
      </w:pPr>
      <w:r>
        <w:rPr/>
        <w:t>Сообщение акционерам о проведении общего годового собрания                            акционеров разместить в местном печатном издании ООО «ТРК «Волна-плюс», газете «Волна», опубликовать в ленте новостей  и на странице в сети Интернет www.disclosure.ru/issuer/1105003554/index.shtml до 20 марта 2023 года.</w:t>
      </w:r>
    </w:p>
    <w:p>
      <w:pPr>
        <w:pStyle w:val="style0"/>
        <w:jc w:val="both"/>
      </w:pPr>
      <w:r>
        <w:rPr/>
        <w:t xml:space="preserve">2. </w:t>
      </w:r>
      <w:r>
        <w:rPr/>
        <w:t>Идентификационные признаки акций, владельцы которых имеют право на участие в общем собрании акционеров Общества:</w:t>
      </w:r>
    </w:p>
    <w:p>
      <w:pPr>
        <w:pStyle w:val="style0"/>
        <w:jc w:val="both"/>
      </w:pPr>
      <w:r>
        <w:rPr/>
        <w:t xml:space="preserve">- </w:t>
      </w:r>
      <w:r>
        <w:rPr/>
        <w:t xml:space="preserve">акции обыкновенные именные без документальные: государственный регистрационный номер выпуска 1 – 01 – 01870 – </w:t>
      </w:r>
      <w:r>
        <w:rPr>
          <w:lang w:val="en-US"/>
        </w:rPr>
        <w:t>D</w:t>
      </w:r>
      <w:r>
        <w:rPr/>
        <w:t xml:space="preserve">, дата государственной регистрации – 25.06.1993 года. 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  <w:t xml:space="preserve">    </w:t>
      </w:r>
      <w:r>
        <w:rPr/>
        <w:t>Председатель Совета директоров                                Ю.П. Горбачёв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  <w:t xml:space="preserve">   </w:t>
      </w:r>
      <w:r>
        <w:rPr/>
        <w:t>Секретарь Совета директоров                                       М.М. Алексеева</w:t>
      </w:r>
    </w:p>
    <w:p>
      <w:pPr>
        <w:pStyle w:val="style0"/>
        <w:jc w:val="both"/>
      </w:pPr>
      <w:r>
        <w:rPr/>
      </w:r>
    </w:p>
    <w:p>
      <w:pPr>
        <w:pStyle w:val="style0"/>
        <w:tabs>
          <w:tab w:leader="none" w:pos="709" w:val="left"/>
          <w:tab w:leader="none" w:pos="5670" w:val="left"/>
        </w:tabs>
        <w:jc w:val="both"/>
      </w:pPr>
      <w:r>
        <w:rPr>
          <w:sz w:val="20"/>
          <w:szCs w:val="20"/>
        </w:rPr>
        <w:t>Дата составления протокола  25 февраля 2023 года</w:t>
      </w:r>
    </w:p>
    <w:sectPr>
      <w:footerReference r:id="rId2" w:type="default"/>
      <w:type w:val="nextPage"/>
      <w:pgSz w:h="16838" w:w="11906"/>
      <w:pgMar w:bottom="851" w:footer="720" w:gutter="0" w:header="0" w:left="1701" w:right="851" w:top="1134"/>
      <w:pgNumType w:fmt="decimal"/>
      <w:formProt w:val="false"/>
      <w:textDirection w:val="lrTb"/>
      <w:docGrid w:charSpace="214742220" w:linePitch="312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71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2.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2.%3.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2.%3.%4.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2.%3.%4.%5.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2.%3.%4.%5.%6.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2.%3.%4.%5.%6.%7.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2.%3.%4.%5.%6.%7.%8.%9."/>
      <w:lvlJc w:val="right"/>
      <w:pPr>
        <w:tabs>
          <w:tab w:pos="6480" w:val="num"/>
        </w:tabs>
        <w:ind w:hanging="180" w:left="64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2.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2.%3.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2.%3.%4.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2.%3.%4.%5.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2.%3.%4.%5.%6.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2.%3.%4.%5.%6.%7.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2.%3.%4.%5.%6.%7.%8.%9."/>
      <w:lvlJc w:val="right"/>
      <w:pPr>
        <w:tabs>
          <w:tab w:pos="6480" w:val="num"/>
        </w:tabs>
        <w:ind w:hanging="180" w:left="64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9" w:val="left"/>
      </w:tabs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ar-SA" w:val="ru-RU"/>
    </w:rPr>
  </w:style>
  <w:style w:styleId="style15" w:type="character">
    <w:name w:val="Default Paragraph Font"/>
    <w:next w:val="style15"/>
    <w:rPr/>
  </w:style>
  <w:style w:styleId="style16" w:type="character">
    <w:name w:val="WW8Num8z0"/>
    <w:next w:val="style16"/>
    <w:rPr>
      <w:rFonts w:ascii="Symbol" w:cs="Symbol" w:hAnsi="Symbol"/>
      <w:sz w:val="18"/>
      <w:szCs w:val="18"/>
    </w:rPr>
  </w:style>
  <w:style w:styleId="style17" w:type="character">
    <w:name w:val="Absatz-Standardschriftart"/>
    <w:next w:val="style17"/>
    <w:rPr/>
  </w:style>
  <w:style w:styleId="style18" w:type="character">
    <w:name w:val="WW-Absatz-Standardschriftart"/>
    <w:next w:val="style18"/>
    <w:rPr/>
  </w:style>
  <w:style w:styleId="style19" w:type="character">
    <w:name w:val="WW8Num21z0"/>
    <w:next w:val="style19"/>
    <w:rPr>
      <w:rFonts w:ascii="Symbol" w:cs="Symbol" w:hAnsi="Symbol"/>
      <w:sz w:val="18"/>
      <w:szCs w:val="18"/>
    </w:rPr>
  </w:style>
  <w:style w:styleId="style20" w:type="character">
    <w:name w:val="WW-Absatz-Standardschriftart1"/>
    <w:next w:val="style20"/>
    <w:rPr/>
  </w:style>
  <w:style w:styleId="style21" w:type="character">
    <w:name w:val="WW-Absatz-Standardschriftart11"/>
    <w:next w:val="style21"/>
    <w:rPr/>
  </w:style>
  <w:style w:styleId="style22" w:type="character">
    <w:name w:val="WW8Num2z0"/>
    <w:next w:val="style22"/>
    <w:rPr>
      <w:rFonts w:ascii="Times New Roman" w:cs="Times New Roman" w:hAnsi="Times New Roman"/>
    </w:rPr>
  </w:style>
  <w:style w:styleId="style23" w:type="character">
    <w:name w:val="WW8Num10z0"/>
    <w:next w:val="style23"/>
    <w:rPr>
      <w:rFonts w:ascii="Symbol" w:cs="Symbol" w:hAnsi="Symbol"/>
      <w:sz w:val="18"/>
      <w:szCs w:val="18"/>
    </w:rPr>
  </w:style>
  <w:style w:styleId="style24" w:type="character">
    <w:name w:val="WW-Absatz-Standardschriftart111"/>
    <w:next w:val="style24"/>
    <w:rPr/>
  </w:style>
  <w:style w:styleId="style25" w:type="character">
    <w:name w:val="WW-Absatz-Standardschriftart1111"/>
    <w:next w:val="style25"/>
    <w:rPr/>
  </w:style>
  <w:style w:styleId="style26" w:type="character">
    <w:name w:val="WW-Absatz-Standardschriftart11111"/>
    <w:next w:val="style26"/>
    <w:rPr/>
  </w:style>
  <w:style w:styleId="style27" w:type="character">
    <w:name w:val="WW-Absatz-Standardschriftart111111"/>
    <w:next w:val="style27"/>
    <w:rPr/>
  </w:style>
  <w:style w:styleId="style28" w:type="character">
    <w:name w:val="WW-Absatz-Standardschriftart1111111"/>
    <w:next w:val="style28"/>
    <w:rPr/>
  </w:style>
  <w:style w:styleId="style29" w:type="character">
    <w:name w:val="WW-Absatz-Standardschriftart11111111"/>
    <w:next w:val="style29"/>
    <w:rPr/>
  </w:style>
  <w:style w:styleId="style30" w:type="character">
    <w:name w:val="WW-Absatz-Standardschriftart111111111"/>
    <w:next w:val="style30"/>
    <w:rPr/>
  </w:style>
  <w:style w:styleId="style31" w:type="character">
    <w:name w:val="WW-Absatz-Standardschriftart1111111111"/>
    <w:next w:val="style31"/>
    <w:rPr/>
  </w:style>
  <w:style w:styleId="style32" w:type="character">
    <w:name w:val="WW-Absatz-Standardschriftart11111111111"/>
    <w:next w:val="style32"/>
    <w:rPr/>
  </w:style>
  <w:style w:styleId="style33" w:type="character">
    <w:name w:val="WW-Absatz-Standardschriftart111111111111"/>
    <w:next w:val="style33"/>
    <w:rPr/>
  </w:style>
  <w:style w:styleId="style34" w:type="character">
    <w:name w:val="WW-Absatz-Standardschriftart1111111111111"/>
    <w:next w:val="style34"/>
    <w:rPr/>
  </w:style>
  <w:style w:styleId="style35" w:type="character">
    <w:name w:val="WW-Absatz-Standardschriftart11111111111111"/>
    <w:next w:val="style35"/>
    <w:rPr/>
  </w:style>
  <w:style w:styleId="style36" w:type="character">
    <w:name w:val="WW-Absatz-Standardschriftart111111111111111"/>
    <w:next w:val="style36"/>
    <w:rPr/>
  </w:style>
  <w:style w:styleId="style37" w:type="character">
    <w:name w:val="WW-Absatz-Standardschriftart1111111111111111"/>
    <w:next w:val="style37"/>
    <w:rPr/>
  </w:style>
  <w:style w:styleId="style38" w:type="character">
    <w:name w:val="WW-Absatz-Standardschriftart11111111111111111"/>
    <w:next w:val="style38"/>
    <w:rPr/>
  </w:style>
  <w:style w:styleId="style39" w:type="character">
    <w:name w:val="WW-Absatz-Standardschriftart111111111111111111"/>
    <w:next w:val="style39"/>
    <w:rPr/>
  </w:style>
  <w:style w:styleId="style40" w:type="character">
    <w:name w:val="WW-Absatz-Standardschriftart1111111111111111111"/>
    <w:next w:val="style40"/>
    <w:rPr/>
  </w:style>
  <w:style w:styleId="style41" w:type="character">
    <w:name w:val="WW-Absatz-Standardschriftart11111111111111111111"/>
    <w:next w:val="style41"/>
    <w:rPr/>
  </w:style>
  <w:style w:styleId="style42" w:type="character">
    <w:name w:val="WW-Absatz-Standardschriftart111111111111111111111"/>
    <w:next w:val="style42"/>
    <w:rPr/>
  </w:style>
  <w:style w:styleId="style43" w:type="character">
    <w:name w:val="WW-Absatz-Standardschriftart1111111111111111111111"/>
    <w:next w:val="style43"/>
    <w:rPr/>
  </w:style>
  <w:style w:styleId="style44" w:type="character">
    <w:name w:val="WW-Absatz-Standardschriftart11111111111111111111111"/>
    <w:next w:val="style44"/>
    <w:rPr/>
  </w:style>
  <w:style w:styleId="style45" w:type="character">
    <w:name w:val="WW-Absatz-Standardschriftart111111111111111111111111"/>
    <w:next w:val="style45"/>
    <w:rPr/>
  </w:style>
  <w:style w:styleId="style46" w:type="character">
    <w:name w:val="WW-Absatz-Standardschriftart1111111111111111111111111"/>
    <w:next w:val="style46"/>
    <w:rPr/>
  </w:style>
  <w:style w:styleId="style47" w:type="character">
    <w:name w:val="WW-Absatz-Standardschriftart11111111111111111111111111"/>
    <w:next w:val="style47"/>
    <w:rPr/>
  </w:style>
  <w:style w:styleId="style48" w:type="character">
    <w:name w:val="WW-Absatz-Standardschriftart111111111111111111111111111"/>
    <w:next w:val="style48"/>
    <w:rPr/>
  </w:style>
  <w:style w:styleId="style49" w:type="character">
    <w:name w:val="WW-Absatz-Standardschriftart1111111111111111111111111111"/>
    <w:next w:val="style49"/>
    <w:rPr/>
  </w:style>
  <w:style w:styleId="style50" w:type="character">
    <w:name w:val="WW-Absatz-Standardschriftart11111111111111111111111111111"/>
    <w:next w:val="style50"/>
    <w:rPr/>
  </w:style>
  <w:style w:styleId="style51" w:type="character">
    <w:name w:val="WW-Absatz-Standardschriftart111111111111111111111111111111"/>
    <w:next w:val="style51"/>
    <w:rPr/>
  </w:style>
  <w:style w:styleId="style52" w:type="character">
    <w:name w:val="WW-Absatz-Standardschriftart1111111111111111111111111111111"/>
    <w:next w:val="style52"/>
    <w:rPr/>
  </w:style>
  <w:style w:styleId="style53" w:type="character">
    <w:name w:val="WW8Num3z1"/>
    <w:next w:val="style53"/>
    <w:rPr>
      <w:rFonts w:ascii="Symbol" w:cs="Symbol" w:hAnsi="Symbol"/>
    </w:rPr>
  </w:style>
  <w:style w:styleId="style54" w:type="character">
    <w:name w:val="Основной шрифт абзаца1"/>
    <w:next w:val="style54"/>
    <w:rPr/>
  </w:style>
  <w:style w:styleId="style55" w:type="character">
    <w:name w:val="Маркеры списка"/>
    <w:next w:val="style55"/>
    <w:rPr>
      <w:rFonts w:ascii="StarSymbol" w:cs="StarSymbol" w:eastAsia="StarSymbol" w:hAnsi="StarSymbol"/>
      <w:sz w:val="18"/>
      <w:szCs w:val="18"/>
    </w:rPr>
  </w:style>
  <w:style w:styleId="style56" w:type="character">
    <w:name w:val="WW8Num9z0"/>
    <w:next w:val="style56"/>
    <w:rPr>
      <w:rFonts w:ascii="Symbol" w:cs="Symbol" w:hAnsi="Symbol"/>
    </w:rPr>
  </w:style>
  <w:style w:styleId="style57" w:type="character">
    <w:name w:val="WW8Num9z1"/>
    <w:next w:val="style57"/>
    <w:rPr>
      <w:rFonts w:ascii="Courier New" w:cs="Courier New" w:hAnsi="Courier New"/>
    </w:rPr>
  </w:style>
  <w:style w:styleId="style58" w:type="character">
    <w:name w:val="WW8Num9z2"/>
    <w:next w:val="style58"/>
    <w:rPr>
      <w:rFonts w:ascii="Wingdings" w:cs="Wingdings" w:hAnsi="Wingdings"/>
    </w:rPr>
  </w:style>
  <w:style w:styleId="style59" w:type="character">
    <w:name w:val="Body Text Char"/>
    <w:basedOn w:val="style15"/>
    <w:next w:val="style59"/>
    <w:rPr>
      <w:sz w:val="24"/>
      <w:szCs w:val="24"/>
      <w:lang w:bidi="ar-SA" w:eastAsia="ar-SA"/>
    </w:rPr>
  </w:style>
  <w:style w:styleId="style60" w:type="character">
    <w:name w:val="Footer Char"/>
    <w:basedOn w:val="style15"/>
    <w:next w:val="style60"/>
    <w:rPr>
      <w:sz w:val="24"/>
      <w:szCs w:val="24"/>
      <w:lang w:bidi="ar-SA" w:eastAsia="ar-SA"/>
    </w:rPr>
  </w:style>
  <w:style w:styleId="style61" w:type="character">
    <w:name w:val="page number"/>
    <w:basedOn w:val="style15"/>
    <w:next w:val="style61"/>
    <w:rPr/>
  </w:style>
  <w:style w:styleId="style62" w:type="character">
    <w:name w:val="ListLabel 1"/>
    <w:next w:val="style62"/>
    <w:rPr>
      <w:rFonts w:cs="Symbol"/>
      <w:sz w:val="18"/>
      <w:szCs w:val="18"/>
    </w:rPr>
  </w:style>
  <w:style w:styleId="style63" w:type="character">
    <w:name w:val="ListLabel 2"/>
    <w:next w:val="style63"/>
    <w:rPr>
      <w:rFonts w:eastAsia="Times New Roman"/>
    </w:rPr>
  </w:style>
  <w:style w:styleId="style64" w:type="paragraph">
    <w:name w:val="Заголовок"/>
    <w:basedOn w:val="style0"/>
    <w:next w:val="style65"/>
    <w:pPr>
      <w:keepNext/>
      <w:spacing w:after="120" w:before="240"/>
    </w:pPr>
    <w:rPr>
      <w:rFonts w:ascii="Arial" w:cs="Arial" w:eastAsia="Arial Unicode MS" w:hAnsi="Arial"/>
      <w:sz w:val="28"/>
      <w:szCs w:val="28"/>
    </w:rPr>
  </w:style>
  <w:style w:styleId="style65" w:type="paragraph">
    <w:name w:val="Основной текст"/>
    <w:basedOn w:val="style0"/>
    <w:next w:val="style65"/>
    <w:pPr>
      <w:spacing w:after="120" w:before="0"/>
    </w:pPr>
    <w:rPr/>
  </w:style>
  <w:style w:styleId="style66" w:type="paragraph">
    <w:name w:val="Список"/>
    <w:basedOn w:val="style65"/>
    <w:next w:val="style66"/>
    <w:pPr/>
    <w:rPr>
      <w:rFonts w:ascii="Arial" w:cs="Arial" w:hAnsi="Arial"/>
    </w:rPr>
  </w:style>
  <w:style w:styleId="style67" w:type="paragraph">
    <w:name w:val="Название"/>
    <w:basedOn w:val="style0"/>
    <w:next w:val="style67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68" w:type="paragraph">
    <w:name w:val="Указатель"/>
    <w:basedOn w:val="style0"/>
    <w:next w:val="style68"/>
    <w:pPr>
      <w:suppressLineNumbers/>
    </w:pPr>
    <w:rPr>
      <w:rFonts w:cs="Mangal"/>
    </w:rPr>
  </w:style>
  <w:style w:styleId="style69" w:type="paragraph">
    <w:name w:val="Название1"/>
    <w:basedOn w:val="style0"/>
    <w:next w:val="style69"/>
    <w:pPr>
      <w:suppressLineNumbers/>
      <w:spacing w:after="120" w:before="120"/>
    </w:pPr>
    <w:rPr>
      <w:rFonts w:ascii="Arial" w:cs="Arial" w:hAnsi="Arial"/>
      <w:i/>
      <w:iCs/>
    </w:rPr>
  </w:style>
  <w:style w:styleId="style70" w:type="paragraph">
    <w:name w:val="Указатель1"/>
    <w:basedOn w:val="style0"/>
    <w:next w:val="style70"/>
    <w:pPr>
      <w:suppressLineNumbers/>
    </w:pPr>
    <w:rPr>
      <w:rFonts w:ascii="Arial" w:cs="Arial" w:hAnsi="Arial"/>
    </w:rPr>
  </w:style>
  <w:style w:styleId="style71" w:type="paragraph">
    <w:name w:val="Нижний колонтитул"/>
    <w:basedOn w:val="style0"/>
    <w:next w:val="style71"/>
    <w:pPr>
      <w:suppressLineNumbers/>
      <w:tabs>
        <w:tab w:leader="none" w:pos="4677" w:val="center"/>
        <w:tab w:leader="none" w:pos="9355" w:val="right"/>
      </w:tabs>
    </w:pPr>
    <w:rPr/>
  </w:style>
  <w:style w:styleId="style72" w:type="paragraph">
    <w:name w:val="Normal (Web)"/>
    <w:basedOn w:val="style0"/>
    <w:next w:val="style72"/>
    <w:pPr>
      <w:suppressAutoHyphens w:val="false"/>
      <w:spacing w:after="119" w:before="28"/>
    </w:pPr>
    <w:rPr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440</TotalTime>
  <Application>LibreOffice/3.4$Win32 LibreOffice_project/340m1$Build-12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2019-02-12T12:41:00.00Z</dcterms:created>
  <dc:creator>LobastovaEV</dc:creator>
  <cp:lastModifiedBy>LeontevaGA</cp:lastModifiedBy>
  <cp:lastPrinted>2018-02-23T08:57:00.00Z</cp:lastPrinted>
  <dcterms:modified xsi:type="dcterms:W3CDTF">2020-04-06T07:08:00.00Z</dcterms:modified>
  <cp:revision>18</cp:revision>
  <dc:title>ОАО «ПЕЧОРСКИЙ ХЛЕБОМАКАРОННЫЙ КОМБИНАТ»</dc:title>
</cp:coreProperties>
</file>