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0BED">
      <w:pPr>
        <w:jc w:val="right"/>
      </w:pPr>
      <w:proofErr w:type="gramStart"/>
      <w:r>
        <w:t>УТВЕРЖДЕН</w:t>
      </w:r>
      <w:proofErr w:type="gramEnd"/>
      <w:r>
        <w:t xml:space="preserve"> 7 </w:t>
      </w:r>
      <w:r>
        <w:t>ноября</w:t>
      </w:r>
      <w:r>
        <w:t xml:space="preserve"> 2012г</w:t>
      </w:r>
      <w:r>
        <w:t>.</w:t>
      </w:r>
    </w:p>
    <w:p w:rsidR="00000000" w:rsidRDefault="004A0BED">
      <w:pPr>
        <w:jc w:val="right"/>
      </w:pPr>
      <w:r>
        <w:t>Совет</w:t>
      </w:r>
      <w:r>
        <w:t xml:space="preserve"> </w:t>
      </w:r>
      <w:r>
        <w:t>директоров</w:t>
      </w:r>
      <w:r>
        <w:t xml:space="preserve"> </w:t>
      </w:r>
      <w:r>
        <w:t>ОАО</w:t>
      </w:r>
      <w:r>
        <w:t xml:space="preserve"> "</w:t>
      </w:r>
      <w:r>
        <w:t>ОДБ</w:t>
      </w:r>
      <w:r>
        <w:t>"</w:t>
      </w:r>
    </w:p>
    <w:p w:rsidR="00000000" w:rsidRDefault="004A0BED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7 </w:t>
      </w:r>
      <w:r>
        <w:t>ноября</w:t>
      </w:r>
      <w:r>
        <w:t xml:space="preserve"> 2012г</w:t>
      </w:r>
      <w:r>
        <w:t xml:space="preserve">. </w:t>
      </w:r>
      <w:r>
        <w:t>№</w:t>
      </w:r>
      <w:r>
        <w:t>12</w:t>
      </w:r>
    </w:p>
    <w:p w:rsidR="00000000" w:rsidRDefault="004A0BE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4A0BE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“Открытые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двери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Бал</w:t>
      </w:r>
      <w:r>
        <w:rPr>
          <w:b/>
          <w:bCs/>
          <w:i/>
          <w:iCs/>
          <w:sz w:val="32"/>
          <w:szCs w:val="32"/>
        </w:rPr>
        <w:t>тики”</w:t>
      </w:r>
    </w:p>
    <w:p w:rsidR="00000000" w:rsidRDefault="004A0BE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04213-D</w:t>
      </w:r>
    </w:p>
    <w:p w:rsidR="00000000" w:rsidRDefault="004A0BE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2012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4A0BE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236006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Калининград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Московский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проспект</w:t>
      </w:r>
      <w:r>
        <w:rPr>
          <w:b/>
          <w:bCs/>
          <w:sz w:val="24"/>
          <w:szCs w:val="24"/>
        </w:rPr>
        <w:t xml:space="preserve"> 202</w:t>
      </w:r>
    </w:p>
    <w:p w:rsidR="00000000" w:rsidRDefault="004A0BE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4A0BED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A0BED">
            <w:pPr>
              <w:spacing w:before="120"/>
            </w:pPr>
          </w:p>
          <w:p w:rsidR="00000000" w:rsidRDefault="004A0BED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  <w:p w:rsidR="00000000" w:rsidRDefault="004A0BED" w:rsidP="004A0BED">
            <w:r>
              <w:t>Дата: 7 ноября 2012г</w:t>
            </w:r>
            <w:bookmarkStart w:id="0" w:name="_GoBack"/>
            <w:bookmarkEnd w:id="0"/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A0BED"/>
          <w:p w:rsidR="00000000" w:rsidRDefault="004A0BED">
            <w:pPr>
              <w:spacing w:before="200" w:after="200"/>
              <w:jc w:val="center"/>
            </w:pPr>
            <w:r>
              <w:t xml:space="preserve">____________ </w:t>
            </w:r>
            <w:proofErr w:type="spellStart"/>
            <w:r>
              <w:t>Г</w:t>
            </w:r>
            <w:r>
              <w:t>.</w:t>
            </w:r>
            <w:r>
              <w:t>Т</w:t>
            </w:r>
            <w:r>
              <w:t>.</w:t>
            </w:r>
            <w:r>
              <w:t>Шепелев</w:t>
            </w:r>
            <w:proofErr w:type="spellEnd"/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A0BED">
            <w:pPr>
              <w:spacing w:before="120"/>
            </w:pPr>
          </w:p>
          <w:p w:rsidR="00000000" w:rsidRDefault="004A0BED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  <w:r>
              <w:t xml:space="preserve"> </w:t>
            </w:r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  <w:p w:rsidR="00000000" w:rsidRDefault="004A0BED" w:rsidP="004A0BED">
            <w:r>
              <w:t>Дата: 7 ноября 2012г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A0BED"/>
          <w:p w:rsidR="00000000" w:rsidRDefault="004A0BED">
            <w:pPr>
              <w:spacing w:before="200" w:after="200"/>
              <w:jc w:val="center"/>
            </w:pPr>
            <w:r>
              <w:t xml:space="preserve">____________ </w:t>
            </w:r>
            <w:proofErr w:type="spellStart"/>
            <w:r>
              <w:t>Г</w:t>
            </w:r>
            <w:r>
              <w:t>.</w:t>
            </w:r>
            <w:r>
              <w:t>Д</w:t>
            </w:r>
            <w:r>
              <w:t>.</w:t>
            </w:r>
            <w:r>
              <w:t>Василенко</w:t>
            </w:r>
            <w:proofErr w:type="spellEnd"/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4A0BED"/>
    <w:p w:rsidR="00000000" w:rsidRDefault="004A0BED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Кулиш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Игорь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Николаевич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Заместитель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Генерального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ОАО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ОДБ</w:t>
            </w:r>
            <w:r>
              <w:rPr>
                <w:b/>
                <w:bCs/>
              </w:rPr>
              <w:t>"</w:t>
            </w:r>
          </w:p>
          <w:p w:rsidR="00000000" w:rsidRDefault="004A0BED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(4012) 35-35-44</w:t>
            </w:r>
          </w:p>
          <w:p w:rsidR="00000000" w:rsidRDefault="004A0BED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(4012) 35-35-11</w:t>
            </w:r>
          </w:p>
          <w:p w:rsidR="00000000" w:rsidRDefault="004A0BED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Baltica-hotel@gazinter.net</w:t>
            </w:r>
          </w:p>
          <w:p w:rsidR="00000000" w:rsidRDefault="004A0BED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</w:t>
            </w:r>
            <w:r>
              <w:t>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www.baltica-hotel.ru</w:t>
            </w:r>
          </w:p>
        </w:tc>
        <w:tc>
          <w:tcPr>
            <w:gridSpan w:val="0"/>
          </w:tcPr>
          <w:p w:rsidR="00000000" w:rsidRDefault="004A0BED">
            <w:pPr>
              <w:spacing w:before="40"/>
            </w:pPr>
          </w:p>
        </w:tc>
      </w:tr>
    </w:tbl>
    <w:p w:rsidR="00000000" w:rsidRDefault="004A0BED">
      <w:pPr>
        <w:pStyle w:val="1"/>
      </w:pPr>
      <w:r>
        <w:br w:type="page"/>
      </w:r>
      <w:r>
        <w:lastRenderedPageBreak/>
        <w:t>Оглавление</w:t>
      </w:r>
    </w:p>
    <w:p w:rsidR="00000000" w:rsidRDefault="004A0BED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</w:t>
      </w:r>
      <w:r>
        <w:t>квартальный</w:t>
      </w:r>
      <w:r>
        <w:t xml:space="preserve"> </w:t>
      </w:r>
      <w:r>
        <w:t>отчет</w:t>
      </w:r>
    </w:p>
    <w:p w:rsidR="00000000" w:rsidRDefault="004A0BED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A0BED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A0BED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A0BED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A0BED">
      <w:r>
        <w:t xml:space="preserve">1.6. </w:t>
      </w:r>
      <w:r>
        <w:br/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A0BED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A0BED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4A0BED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</w:t>
      </w:r>
      <w:r>
        <w:t>лженность</w:t>
      </w:r>
    </w:p>
    <w:p w:rsidR="00000000" w:rsidRDefault="004A0BED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A0BED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A0BED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A0BED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A0BED">
      <w:r>
        <w:t>3.</w:t>
      </w:r>
      <w:r>
        <w:t xml:space="preserve">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A0BED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A0BED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A0BED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A0BED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4A0BED">
      <w:r>
        <w:t xml:space="preserve">3.1.5. </w:t>
      </w:r>
      <w:r>
        <w:br/>
      </w:r>
      <w:r>
        <w:t>Идентифик</w:t>
      </w:r>
      <w:r>
        <w:t>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A0BED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A0BED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A0BED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A0BED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A0BED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A0BED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A0BED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A0BED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</w:t>
      </w:r>
      <w:r>
        <w:t>нта</w:t>
      </w:r>
    </w:p>
    <w:p w:rsidR="00000000" w:rsidRDefault="004A0BED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A0BED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A0BED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</w:t>
      </w:r>
      <w:r>
        <w:t>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A0BED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4A0BED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эмитента</w:t>
      </w:r>
    </w:p>
    <w:p w:rsidR="00000000" w:rsidRDefault="004A0BED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A0BED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A0BED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A0BED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</w:t>
      </w:r>
      <w:r>
        <w:t>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A0BED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</w:t>
      </w:r>
      <w:r>
        <w:t>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A0BED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</w:t>
      </w:r>
      <w:r>
        <w:t>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A0BED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A0BED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A0BED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</w:t>
      </w:r>
      <w:r>
        <w:t>тента</w:t>
      </w:r>
    </w:p>
    <w:p w:rsidR="00000000" w:rsidRDefault="004A0BED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</w:t>
      </w:r>
      <w:r>
        <w:t>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</w:t>
      </w:r>
      <w:r>
        <w:t>иков</w:t>
      </w:r>
      <w:r>
        <w:t xml:space="preserve">) </w:t>
      </w:r>
      <w:r>
        <w:t>эмитента</w:t>
      </w:r>
    </w:p>
    <w:p w:rsidR="00000000" w:rsidRDefault="004A0BED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lastRenderedPageBreak/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A0BED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</w:t>
      </w:r>
      <w:r>
        <w:t>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A0BED">
      <w:r>
        <w:t xml:space="preserve">6.1-6.2. </w:t>
      </w:r>
      <w:r>
        <w:br/>
      </w:r>
      <w:r>
        <w:t>Акционеры</w:t>
      </w:r>
    </w:p>
    <w:p w:rsidR="00000000" w:rsidRDefault="004A0BED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A0BED">
      <w:r>
        <w:t xml:space="preserve">6.2.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</w:t>
      </w:r>
      <w:r>
        <w:t>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</w:t>
      </w:r>
      <w:r>
        <w:t>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proofErr w:type="gramEnd"/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</w:t>
      </w:r>
      <w:r>
        <w:t>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A0BED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A0BED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</w:t>
      </w:r>
      <w:r>
        <w:t>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A0BED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A0BED">
      <w:r>
        <w:t>VII.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A0BED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</w:t>
      </w:r>
      <w:r>
        <w:t>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A0BED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A0BED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A0BED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A0BED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A0BED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A0BED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A0BED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</w:t>
      </w:r>
      <w:r>
        <w:t>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A0BED">
      <w:r>
        <w:lastRenderedPageBreak/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A0BED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A0BED">
      <w:r>
        <w:t xml:space="preserve">8.3.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A0BED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A0BED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A0BED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</w:t>
      </w:r>
      <w:r>
        <w:t>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A0BED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</w:t>
      </w:r>
      <w:r>
        <w:t>ечным</w:t>
      </w:r>
      <w:r>
        <w:t xml:space="preserve"> </w:t>
      </w:r>
      <w:r>
        <w:t>покрытием</w:t>
      </w:r>
    </w:p>
    <w:p w:rsidR="00000000" w:rsidRDefault="004A0BED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A0BED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A0BED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4A0BED">
      <w:r>
        <w:t xml:space="preserve">8.8.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4A0BED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A0BED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A0BED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4A0BED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</w:t>
      </w:r>
      <w:r>
        <w:t>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A0BED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4A0BED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ind w:left="200"/>
      </w:pPr>
      <w:proofErr w:type="gramStart"/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</w:t>
      </w:r>
      <w:r>
        <w:rPr>
          <w:rStyle w:val="Subst"/>
        </w:rPr>
        <w:t>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proofErr w:type="gramEnd"/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</w:t>
      </w:r>
      <w:r>
        <w:t>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</w:t>
      </w:r>
      <w:r>
        <w:t>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</w:t>
      </w:r>
      <w:r>
        <w:t>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4A0BED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</w:t>
      </w:r>
      <w:r>
        <w:t>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A0BED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Зильберман</w:t>
            </w:r>
            <w:proofErr w:type="spellEnd"/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Валентинович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Зильберман</w:t>
            </w:r>
            <w:proofErr w:type="spellEnd"/>
            <w:r>
              <w:t xml:space="preserve"> </w:t>
            </w:r>
            <w:r>
              <w:t>Ирина</w:t>
            </w:r>
            <w:r>
              <w:t xml:space="preserve"> </w:t>
            </w:r>
            <w:r>
              <w:t>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Зильберман</w:t>
            </w:r>
            <w:proofErr w:type="spellEnd"/>
            <w:r>
              <w:t xml:space="preserve"> </w:t>
            </w:r>
            <w:r>
              <w:t>Роман</w:t>
            </w:r>
            <w:r>
              <w:t xml:space="preserve"> </w:t>
            </w:r>
            <w:r>
              <w:t>Игоревич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Шепелев</w:t>
            </w:r>
            <w:proofErr w:type="spellEnd"/>
            <w:r>
              <w:t xml:space="preserve"> </w:t>
            </w:r>
            <w:r>
              <w:t>Григорий</w:t>
            </w:r>
            <w:r>
              <w:t xml:space="preserve"> </w:t>
            </w:r>
            <w:r>
              <w:t>Тимофеевич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Зильберман</w:t>
            </w:r>
            <w:proofErr w:type="spellEnd"/>
            <w:r>
              <w:t xml:space="preserve"> </w:t>
            </w:r>
            <w:r>
              <w:t>Анна</w:t>
            </w:r>
            <w:r>
              <w:t xml:space="preserve"> </w:t>
            </w:r>
            <w:r>
              <w:t>Игоревна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1979</w:t>
            </w:r>
          </w:p>
        </w:tc>
      </w:tr>
    </w:tbl>
    <w:p w:rsidR="00000000" w:rsidRDefault="004A0BED"/>
    <w:p w:rsidR="00000000" w:rsidRDefault="004A0BE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4A0BED">
      <w:pPr>
        <w:ind w:left="400"/>
      </w:pPr>
    </w:p>
    <w:p w:rsidR="00000000" w:rsidRDefault="004A0BED">
      <w:pPr>
        <w:ind w:left="400"/>
      </w:pP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Шепелев</w:t>
            </w:r>
            <w:proofErr w:type="spellEnd"/>
            <w:r>
              <w:t xml:space="preserve"> </w:t>
            </w:r>
            <w:r>
              <w:t>Григорий</w:t>
            </w:r>
            <w:r>
              <w:t xml:space="preserve"> </w:t>
            </w:r>
            <w:r>
              <w:t>Тимофеевич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1961</w:t>
            </w:r>
          </w:p>
        </w:tc>
      </w:tr>
    </w:tbl>
    <w:p w:rsidR="00000000" w:rsidRDefault="004A0BED"/>
    <w:p w:rsidR="00000000" w:rsidRDefault="004A0BE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Колл</w:t>
      </w:r>
      <w:r>
        <w:rPr>
          <w:rStyle w:val="Subst"/>
        </w:rPr>
        <w:t>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A0BED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A0BE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01261 </w:t>
      </w:r>
      <w:r>
        <w:rPr>
          <w:rStyle w:val="Subst"/>
        </w:rPr>
        <w:t>Калининградского</w:t>
      </w:r>
      <w:r>
        <w:rPr>
          <w:rStyle w:val="Subst"/>
        </w:rPr>
        <w:t xml:space="preserve"> </w:t>
      </w:r>
      <w:r>
        <w:rPr>
          <w:rStyle w:val="Subst"/>
        </w:rPr>
        <w:t>ОСБ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8626 </w:t>
      </w:r>
      <w:r>
        <w:rPr>
          <w:rStyle w:val="Subst"/>
        </w:rPr>
        <w:t>Сберегательного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4A0BE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4A0BE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236000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Пугачева</w:t>
      </w:r>
      <w:r>
        <w:rPr>
          <w:rStyle w:val="Subst"/>
        </w:rPr>
        <w:t>, 16</w:t>
      </w:r>
    </w:p>
    <w:p w:rsidR="00000000" w:rsidRDefault="004A0BED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4A0BED">
      <w:pPr>
        <w:ind w:left="400"/>
      </w:pPr>
      <w:r>
        <w:t>БИК</w:t>
      </w:r>
      <w:r>
        <w:t>:</w:t>
      </w:r>
      <w:r>
        <w:rPr>
          <w:rStyle w:val="Subst"/>
        </w:rPr>
        <w:t xml:space="preserve"> 042748634</w:t>
      </w:r>
    </w:p>
    <w:p w:rsidR="00000000" w:rsidRDefault="004A0BED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40702810320020100522</w:t>
      </w:r>
    </w:p>
    <w:p w:rsidR="00000000" w:rsidRDefault="004A0BED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30101810100000000634</w:t>
      </w:r>
    </w:p>
    <w:p w:rsidR="00000000" w:rsidRDefault="004A0BED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4A0BED">
      <w:pPr>
        <w:ind w:left="200"/>
      </w:pPr>
    </w:p>
    <w:p w:rsidR="00000000" w:rsidRDefault="004A0BE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A0BE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“Калини</w:t>
      </w:r>
      <w:r>
        <w:rPr>
          <w:rStyle w:val="Subst"/>
        </w:rPr>
        <w:t>нградский”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“Собинбанк”</w:t>
      </w:r>
    </w:p>
    <w:p w:rsidR="00000000" w:rsidRDefault="004A0BE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4A0BE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236000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пл</w:t>
      </w:r>
      <w:r>
        <w:rPr>
          <w:rStyle w:val="Subst"/>
        </w:rPr>
        <w:t xml:space="preserve">. </w:t>
      </w:r>
      <w:r>
        <w:rPr>
          <w:rStyle w:val="Subst"/>
        </w:rPr>
        <w:t>Победы</w:t>
      </w:r>
      <w:r>
        <w:rPr>
          <w:rStyle w:val="Subst"/>
        </w:rPr>
        <w:t>, 4</w:t>
      </w:r>
    </w:p>
    <w:p w:rsidR="00000000" w:rsidRDefault="004A0BED">
      <w:pPr>
        <w:ind w:left="400"/>
      </w:pPr>
      <w:r>
        <w:t>ИНН</w:t>
      </w:r>
      <w:r>
        <w:t>:</w:t>
      </w:r>
      <w:r>
        <w:rPr>
          <w:rStyle w:val="Subst"/>
        </w:rPr>
        <w:t xml:space="preserve"> 7722076611</w:t>
      </w:r>
    </w:p>
    <w:p w:rsidR="00000000" w:rsidRDefault="004A0BED">
      <w:pPr>
        <w:ind w:left="400"/>
      </w:pPr>
      <w:r>
        <w:t>БИК</w:t>
      </w:r>
      <w:r>
        <w:t>:</w:t>
      </w:r>
      <w:r>
        <w:rPr>
          <w:rStyle w:val="Subst"/>
        </w:rPr>
        <w:t xml:space="preserve"> 042748863</w:t>
      </w:r>
    </w:p>
    <w:p w:rsidR="00000000" w:rsidRDefault="004A0BED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40702810000050000125</w:t>
      </w:r>
    </w:p>
    <w:p w:rsidR="00000000" w:rsidRDefault="004A0BED">
      <w:pPr>
        <w:ind w:left="200"/>
      </w:pPr>
      <w:r>
        <w:lastRenderedPageBreak/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30101810900000000863</w:t>
      </w:r>
    </w:p>
    <w:p w:rsidR="00000000" w:rsidRDefault="004A0BED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</w:t>
      </w:r>
      <w:r>
        <w:t>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Аудиторы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A0BED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A0BED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</w:t>
      </w:r>
      <w:r>
        <w:t>нтах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A0BED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A0BED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</w:t>
      </w:r>
      <w:r>
        <w:t>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4A0BED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</w:t>
            </w:r>
            <w:r>
              <w:t>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2011, 9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499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6.98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Степень</w:t>
            </w:r>
            <w:r>
              <w:t xml:space="preserve"> </w:t>
            </w:r>
            <w:r>
              <w:t>пок</w:t>
            </w:r>
            <w:r>
              <w:t>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23.32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53.57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ind w:left="200"/>
      </w:pPr>
    </w:p>
    <w:p w:rsidR="00000000" w:rsidRDefault="004A0BED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4A0BED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</w:t>
      </w:r>
      <w:r>
        <w:t>а</w:t>
      </w:r>
    </w:p>
    <w:p w:rsidR="00000000" w:rsidRDefault="004A0BE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4A0BED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lastRenderedPageBreak/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A0BED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2012 </w:t>
      </w:r>
      <w:r>
        <w:t>г</w:t>
      </w:r>
      <w:r>
        <w:t>.</w:t>
      </w:r>
    </w:p>
    <w:p w:rsidR="00000000" w:rsidRDefault="004A0BED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</w:t>
            </w:r>
            <w:r>
              <w:t>ключением</w:t>
            </w:r>
            <w:r>
              <w:t xml:space="preserve">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4A0BED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4A0BED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кредиторов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proofErr w:type="gramStart"/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lastRenderedPageBreak/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</w:t>
      </w:r>
      <w:r>
        <w:t>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proofErr w:type="gramEnd"/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</w:t>
      </w:r>
      <w:r>
        <w:t>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A0BED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A0BED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</w:t>
      </w:r>
      <w:r>
        <w:t>ательства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</w:t>
      </w:r>
      <w:r>
        <w:rPr>
          <w:rStyle w:val="Subst"/>
        </w:rPr>
        <w:t>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4A0BED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A0BED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4A0BED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4A0BED">
      <w:pPr>
        <w:ind w:left="200"/>
      </w:pP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заранее</w:t>
      </w:r>
      <w:r>
        <w:rPr>
          <w:rStyle w:val="Subst"/>
        </w:rPr>
        <w:t xml:space="preserve"> </w:t>
      </w:r>
      <w:r>
        <w:rPr>
          <w:rStyle w:val="Subst"/>
        </w:rPr>
        <w:t>согласовываются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этапе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>.</w:t>
      </w:r>
    </w:p>
    <w:p w:rsidR="00000000" w:rsidRDefault="004A0BED">
      <w:pPr>
        <w:pStyle w:val="2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4A0BED">
      <w:pPr>
        <w:ind w:left="200"/>
      </w:pP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Прогноз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</w:t>
      </w:r>
      <w:r>
        <w:rPr>
          <w:rStyle w:val="Subst"/>
        </w:rPr>
        <w:t>ность</w:t>
      </w:r>
      <w:r>
        <w:rPr>
          <w:rStyle w:val="Subst"/>
        </w:rPr>
        <w:t xml:space="preserve">: </w:t>
      </w:r>
      <w:r>
        <w:rPr>
          <w:rStyle w:val="Subst"/>
        </w:rPr>
        <w:t>политическая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изменится</w:t>
      </w:r>
      <w:r>
        <w:rPr>
          <w:rStyle w:val="Subst"/>
        </w:rPr>
        <w:t xml:space="preserve">, </w:t>
      </w:r>
      <w:r>
        <w:rPr>
          <w:rStyle w:val="Subst"/>
        </w:rPr>
        <w:t>резкого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климата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произойдет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ситуацией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способные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отрицательное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последние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стабилизировалась</w:t>
      </w:r>
      <w:r>
        <w:rPr>
          <w:rStyle w:val="Subst"/>
        </w:rPr>
        <w:t xml:space="preserve">.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,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многочисленны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неблагоприятным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увели</w:t>
      </w:r>
      <w:r>
        <w:rPr>
          <w:rStyle w:val="Subst"/>
        </w:rPr>
        <w:t>чение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,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следствие</w:t>
      </w:r>
      <w:r>
        <w:rPr>
          <w:rStyle w:val="Subst"/>
        </w:rPr>
        <w:t xml:space="preserve"> </w:t>
      </w:r>
      <w:r>
        <w:rPr>
          <w:rStyle w:val="Subst"/>
        </w:rPr>
        <w:t>неблагоприятного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,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кредитной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;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энергоносители</w:t>
      </w:r>
      <w:r>
        <w:rPr>
          <w:rStyle w:val="Subst"/>
        </w:rPr>
        <w:t xml:space="preserve">; </w:t>
      </w:r>
      <w:r>
        <w:rPr>
          <w:rStyle w:val="Subst"/>
        </w:rPr>
        <w:t>усиления</w:t>
      </w:r>
      <w:r>
        <w:rPr>
          <w:rStyle w:val="Subst"/>
        </w:rPr>
        <w:t xml:space="preserve"> </w:t>
      </w:r>
      <w:r>
        <w:rPr>
          <w:rStyle w:val="Subst"/>
        </w:rPr>
        <w:t>инфляционных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экономике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прогноз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благоприятный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способствует</w:t>
      </w:r>
      <w:r>
        <w:rPr>
          <w:rStyle w:val="Subst"/>
        </w:rPr>
        <w:t xml:space="preserve"> </w:t>
      </w:r>
      <w:r>
        <w:rPr>
          <w:rStyle w:val="Subst"/>
        </w:rPr>
        <w:t>динамичному</w:t>
      </w:r>
      <w:r>
        <w:rPr>
          <w:rStyle w:val="Subst"/>
        </w:rPr>
        <w:t xml:space="preserve"> </w:t>
      </w:r>
      <w:r>
        <w:rPr>
          <w:rStyle w:val="Subst"/>
        </w:rPr>
        <w:t>развитию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укреплению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устойчивости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Региональная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успешной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О</w:t>
      </w:r>
      <w:r>
        <w:rPr>
          <w:rStyle w:val="Subst"/>
        </w:rPr>
        <w:t>бщество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перспективы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Калининграде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 </w:t>
      </w:r>
      <w:r>
        <w:rPr>
          <w:rStyle w:val="Subst"/>
        </w:rPr>
        <w:t>благоприятные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</w:t>
      </w:r>
      <w:r>
        <w:rPr>
          <w:rStyle w:val="Subst"/>
        </w:rPr>
        <w:t>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 xml:space="preserve">, </w:t>
      </w:r>
      <w:r>
        <w:rPr>
          <w:rStyle w:val="Subst"/>
        </w:rPr>
        <w:t>ввиду</w:t>
      </w:r>
      <w:r>
        <w:rPr>
          <w:rStyle w:val="Subst"/>
        </w:rPr>
        <w:t xml:space="preserve"> </w:t>
      </w:r>
      <w:r>
        <w:rPr>
          <w:rStyle w:val="Subst"/>
        </w:rPr>
        <w:t>стабильной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удаленно</w:t>
      </w:r>
      <w:r>
        <w:rPr>
          <w:rStyle w:val="Subst"/>
        </w:rPr>
        <w:t>сти</w:t>
      </w:r>
      <w:r>
        <w:rPr>
          <w:rStyle w:val="Subst"/>
        </w:rPr>
        <w:t xml:space="preserve"> </w:t>
      </w:r>
      <w:r>
        <w:rPr>
          <w:rStyle w:val="Subst"/>
        </w:rPr>
        <w:t>местоположения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очагов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географическими</w:t>
      </w:r>
      <w:r>
        <w:rPr>
          <w:rStyle w:val="Subst"/>
        </w:rPr>
        <w:t xml:space="preserve"> </w:t>
      </w:r>
      <w:r>
        <w:rPr>
          <w:rStyle w:val="Subst"/>
        </w:rPr>
        <w:t>особенностями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сположения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характеризуется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наличием</w:t>
      </w:r>
      <w:r>
        <w:rPr>
          <w:rStyle w:val="Subst"/>
        </w:rPr>
        <w:t xml:space="preserve"> </w:t>
      </w:r>
      <w:r>
        <w:rPr>
          <w:rStyle w:val="Subst"/>
        </w:rPr>
        <w:t>большого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развязок</w:t>
      </w:r>
      <w:r>
        <w:rPr>
          <w:rStyle w:val="Subst"/>
        </w:rPr>
        <w:t xml:space="preserve">, </w:t>
      </w:r>
      <w:r>
        <w:rPr>
          <w:rStyle w:val="Subst"/>
        </w:rPr>
        <w:t>путей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исключает</w:t>
      </w:r>
      <w:r>
        <w:rPr>
          <w:rStyle w:val="Subst"/>
        </w:rPr>
        <w:t xml:space="preserve">  </w:t>
      </w:r>
      <w:r>
        <w:rPr>
          <w:rStyle w:val="Subst"/>
        </w:rPr>
        <w:t>труднодоступность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4A0BED">
      <w:pPr>
        <w:ind w:left="200"/>
      </w:pP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протяжении</w:t>
      </w:r>
      <w:r>
        <w:rPr>
          <w:rStyle w:val="Subst"/>
        </w:rPr>
        <w:t xml:space="preserve"> </w:t>
      </w:r>
      <w:r>
        <w:rPr>
          <w:rStyle w:val="Subst"/>
        </w:rPr>
        <w:t>долгих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сотрудничает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немецкими</w:t>
      </w:r>
      <w:r>
        <w:rPr>
          <w:rStyle w:val="Subst"/>
        </w:rPr>
        <w:t xml:space="preserve"> </w:t>
      </w:r>
      <w:r>
        <w:rPr>
          <w:rStyle w:val="Subst"/>
        </w:rPr>
        <w:t>туристическими</w:t>
      </w:r>
      <w:r>
        <w:rPr>
          <w:rStyle w:val="Subst"/>
        </w:rPr>
        <w:t xml:space="preserve"> </w:t>
      </w:r>
      <w:r>
        <w:rPr>
          <w:rStyle w:val="Subst"/>
        </w:rPr>
        <w:t>агентствами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заключены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связи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падении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возникнуть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.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рублю</w:t>
      </w:r>
      <w:r>
        <w:rPr>
          <w:rStyle w:val="Subst"/>
        </w:rPr>
        <w:t xml:space="preserve"> </w:t>
      </w:r>
      <w:r>
        <w:rPr>
          <w:rStyle w:val="Subst"/>
        </w:rPr>
        <w:t>маловероятно</w:t>
      </w:r>
      <w:r>
        <w:rPr>
          <w:rStyle w:val="Subst"/>
        </w:rPr>
        <w:t xml:space="preserve">,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3%.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4A0BED">
      <w:pPr>
        <w:ind w:left="200"/>
      </w:pP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</w:t>
      </w:r>
      <w:r>
        <w:rPr>
          <w:rStyle w:val="Subst"/>
        </w:rPr>
        <w:t>нением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осуществляемая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занятия</w:t>
      </w:r>
      <w:r>
        <w:rPr>
          <w:rStyle w:val="Subst"/>
        </w:rPr>
        <w:t xml:space="preserve"> </w:t>
      </w:r>
      <w:r>
        <w:rPr>
          <w:rStyle w:val="Subst"/>
        </w:rPr>
        <w:t>осуществляемыми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требуется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A0BED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</w:t>
      </w:r>
      <w:r>
        <w:t>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</w:p>
    <w:p w:rsidR="00000000" w:rsidRDefault="004A0BE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04.06.1997</w:t>
      </w:r>
    </w:p>
    <w:p w:rsidR="00000000" w:rsidRDefault="004A0BE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ОДБ</w:t>
      </w:r>
      <w:r>
        <w:rPr>
          <w:rStyle w:val="Subst"/>
        </w:rPr>
        <w:t>"</w:t>
      </w:r>
    </w:p>
    <w:p w:rsidR="00000000" w:rsidRDefault="004A0BE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04.06.1997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4A0BED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4A0BED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</w:t>
      </w:r>
      <w:r>
        <w:t>егистрации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4A0BED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1225</w:t>
      </w:r>
    </w:p>
    <w:p w:rsidR="00000000" w:rsidRDefault="004A0BED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04.06.1997</w:t>
      </w:r>
    </w:p>
    <w:p w:rsidR="00000000" w:rsidRDefault="004A0BE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Ленинградского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Калининграда</w:t>
      </w:r>
    </w:p>
    <w:p w:rsidR="00000000" w:rsidRDefault="004A0BED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4A0BED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1023901021880</w:t>
      </w:r>
    </w:p>
    <w:p w:rsidR="00000000" w:rsidRDefault="004A0BED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</w:t>
      </w:r>
      <w:r>
        <w:t>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26.12.2002</w:t>
      </w:r>
    </w:p>
    <w:p w:rsidR="00000000" w:rsidRDefault="004A0BED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Ленинградскому</w:t>
      </w:r>
      <w:r>
        <w:rPr>
          <w:rStyle w:val="Subst"/>
        </w:rPr>
        <w:t xml:space="preserve"> </w:t>
      </w:r>
      <w:r>
        <w:rPr>
          <w:rStyle w:val="Subst"/>
        </w:rPr>
        <w:t>району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lastRenderedPageBreak/>
        <w:t>Калининграда</w:t>
      </w:r>
    </w:p>
    <w:p w:rsidR="00000000" w:rsidRDefault="004A0BED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Срок</w:t>
      </w:r>
      <w:r>
        <w:t xml:space="preserve">, </w:t>
      </w:r>
      <w:r>
        <w:t>до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будет</w:t>
      </w:r>
      <w:r>
        <w:t xml:space="preserve"> </w:t>
      </w:r>
      <w:r>
        <w:t>существовать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определенный</w:t>
      </w:r>
      <w:r>
        <w:t xml:space="preserve"> </w:t>
      </w:r>
      <w:r>
        <w:t>срок</w:t>
      </w:r>
      <w:r>
        <w:t xml:space="preserve"> </w:t>
      </w:r>
      <w:r>
        <w:t>и</w:t>
      </w:r>
      <w:r>
        <w:t>ли</w:t>
      </w:r>
      <w:r>
        <w:t xml:space="preserve"> </w:t>
      </w:r>
      <w:r>
        <w:t>до</w:t>
      </w:r>
      <w:r>
        <w:t xml:space="preserve"> </w:t>
      </w:r>
      <w:r>
        <w:t>достижения</w:t>
      </w:r>
      <w:r>
        <w:t xml:space="preserve"> </w:t>
      </w:r>
      <w:r>
        <w:t>определенной</w:t>
      </w:r>
      <w:r>
        <w:t xml:space="preserve"> </w:t>
      </w:r>
      <w:r>
        <w:t>цели</w:t>
      </w:r>
      <w:r>
        <w:t>:</w:t>
      </w:r>
      <w:r>
        <w:br/>
      </w:r>
      <w:proofErr w:type="gramStart"/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программой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1992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Постано</w:t>
      </w:r>
      <w:r>
        <w:rPr>
          <w:rStyle w:val="Subst"/>
        </w:rPr>
        <w:t>влением</w:t>
      </w:r>
      <w:r>
        <w:rPr>
          <w:rStyle w:val="Subst"/>
        </w:rPr>
        <w:t xml:space="preserve"> </w:t>
      </w:r>
      <w:r>
        <w:rPr>
          <w:rStyle w:val="Subst"/>
        </w:rPr>
        <w:t>ВС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“</w:t>
      </w:r>
      <w:r>
        <w:rPr>
          <w:rStyle w:val="Subst"/>
        </w:rPr>
        <w:t>11</w:t>
      </w:r>
      <w:r>
        <w:rPr>
          <w:rStyle w:val="Subst"/>
        </w:rPr>
        <w:t>”</w:t>
      </w:r>
      <w:r>
        <w:rPr>
          <w:rStyle w:val="Subst"/>
        </w:rPr>
        <w:t xml:space="preserve"> </w:t>
      </w:r>
      <w:r>
        <w:rPr>
          <w:rStyle w:val="Subst"/>
        </w:rPr>
        <w:t>июня</w:t>
      </w:r>
      <w:r>
        <w:rPr>
          <w:rStyle w:val="Subst"/>
        </w:rPr>
        <w:t xml:space="preserve"> 1992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2980-1, </w:t>
      </w:r>
      <w:r>
        <w:rPr>
          <w:rStyle w:val="Subst"/>
        </w:rPr>
        <w:t>Указом</w:t>
      </w:r>
      <w:r>
        <w:rPr>
          <w:rStyle w:val="Subst"/>
        </w:rPr>
        <w:t xml:space="preserve"> </w:t>
      </w:r>
      <w:r>
        <w:rPr>
          <w:rStyle w:val="Subst"/>
        </w:rPr>
        <w:t>Президента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организационных</w:t>
      </w:r>
      <w:r>
        <w:rPr>
          <w:rStyle w:val="Subst"/>
        </w:rPr>
        <w:t xml:space="preserve"> </w:t>
      </w:r>
      <w:r>
        <w:rPr>
          <w:rStyle w:val="Subst"/>
        </w:rPr>
        <w:t>мерах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преобразованию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добровольных</w:t>
      </w:r>
      <w:r>
        <w:rPr>
          <w:rStyle w:val="Subst"/>
        </w:rPr>
        <w:t xml:space="preserve"> </w:t>
      </w:r>
      <w:r>
        <w:rPr>
          <w:rStyle w:val="Subst"/>
        </w:rPr>
        <w:t>объединений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акционерные</w:t>
      </w:r>
      <w:r>
        <w:rPr>
          <w:rStyle w:val="Subst"/>
        </w:rPr>
        <w:t xml:space="preserve"> </w:t>
      </w:r>
      <w:r>
        <w:rPr>
          <w:rStyle w:val="Subst"/>
        </w:rPr>
        <w:t>общества”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“</w:t>
      </w:r>
      <w:r>
        <w:rPr>
          <w:rStyle w:val="Subst"/>
        </w:rPr>
        <w:t>01</w:t>
      </w:r>
      <w:r>
        <w:rPr>
          <w:rStyle w:val="Subst"/>
        </w:rPr>
        <w:t>”</w:t>
      </w:r>
      <w:r>
        <w:rPr>
          <w:rStyle w:val="Subst"/>
        </w:rPr>
        <w:t xml:space="preserve"> </w:t>
      </w:r>
      <w:r>
        <w:rPr>
          <w:rStyle w:val="Subst"/>
        </w:rPr>
        <w:t>июля</w:t>
      </w:r>
      <w:r>
        <w:rPr>
          <w:rStyle w:val="Subst"/>
        </w:rPr>
        <w:t xml:space="preserve"> 1992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721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приватиз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туристического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“Балтика”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протяжении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десяти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>,</w:t>
      </w:r>
      <w:r>
        <w:t xml:space="preserve">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4A0BED"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236006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202</w:t>
      </w:r>
    </w:p>
    <w:p w:rsidR="00000000" w:rsidRDefault="004A0BED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 xml:space="preserve">236001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202</w:t>
      </w:r>
    </w:p>
    <w:p w:rsidR="00000000" w:rsidRDefault="004A0BED">
      <w:r>
        <w:t>Телефон</w:t>
      </w:r>
      <w:r>
        <w:t>:</w:t>
      </w:r>
      <w:r>
        <w:rPr>
          <w:rStyle w:val="Subst"/>
        </w:rPr>
        <w:t xml:space="preserve"> (4012) 35-35-44</w:t>
      </w:r>
    </w:p>
    <w:p w:rsidR="00000000" w:rsidRDefault="004A0BED">
      <w:r>
        <w:t>Факс</w:t>
      </w:r>
      <w:r>
        <w:t>:</w:t>
      </w:r>
      <w:r>
        <w:rPr>
          <w:rStyle w:val="Subst"/>
        </w:rPr>
        <w:t xml:space="preserve"> (4012) 35-35-11</w:t>
      </w:r>
    </w:p>
    <w:p w:rsidR="00000000" w:rsidRDefault="004A0BED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Baltica-hotel@gazinter.net</w:t>
      </w:r>
    </w:p>
    <w:p w:rsidR="00000000" w:rsidRDefault="004A0BED"/>
    <w:p w:rsidR="00000000" w:rsidRDefault="004A0BED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www.baltica-hotel.ru</w:t>
      </w:r>
    </w:p>
    <w:p w:rsidR="00000000" w:rsidRDefault="004A0BED">
      <w:pPr>
        <w:pStyle w:val="ThinDelim"/>
      </w:pPr>
    </w:p>
    <w:p w:rsidR="00000000" w:rsidRDefault="004A0BED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A0BED">
      <w:pPr>
        <w:ind w:left="200"/>
      </w:pPr>
      <w:r>
        <w:rPr>
          <w:rStyle w:val="Subst"/>
        </w:rPr>
        <w:t>3906021887</w:t>
      </w:r>
    </w:p>
    <w:p w:rsidR="00000000" w:rsidRDefault="004A0BED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Изменения</w:t>
      </w:r>
      <w:r>
        <w:t xml:space="preserve">, </w:t>
      </w:r>
      <w:r>
        <w:t>которые</w:t>
      </w:r>
      <w:r>
        <w:t xml:space="preserve"> </w:t>
      </w:r>
      <w:r>
        <w:t>произошли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филиалов</w:t>
      </w:r>
      <w:r>
        <w:t xml:space="preserve"> </w:t>
      </w:r>
      <w:r>
        <w:t>и</w:t>
      </w:r>
      <w:r>
        <w:t xml:space="preserve"> </w:t>
      </w:r>
      <w:r>
        <w:t>представительств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наименования</w:t>
      </w:r>
      <w:r>
        <w:t xml:space="preserve">, </w:t>
      </w:r>
      <w:r>
        <w:t>места</w:t>
      </w:r>
      <w:r>
        <w:t xml:space="preserve"> </w:t>
      </w:r>
      <w:r>
        <w:t>нахождения</w:t>
      </w:r>
      <w:r>
        <w:t xml:space="preserve"> </w:t>
      </w:r>
      <w:r>
        <w:t>филиала</w:t>
      </w:r>
      <w:r>
        <w:t xml:space="preserve"> </w:t>
      </w:r>
      <w:r>
        <w:t>или</w:t>
      </w:r>
      <w:r>
        <w:t xml:space="preserve"> </w:t>
      </w:r>
      <w:r>
        <w:t>представительства</w:t>
      </w:r>
      <w:r>
        <w:t xml:space="preserve">, </w:t>
      </w:r>
      <w:r>
        <w:t>фамилии</w:t>
      </w:r>
      <w:r>
        <w:t xml:space="preserve">, </w:t>
      </w:r>
      <w:r>
        <w:t>имени</w:t>
      </w:r>
      <w:r>
        <w:t xml:space="preserve">, </w:t>
      </w:r>
      <w:r>
        <w:t>отчества</w:t>
      </w:r>
      <w:r>
        <w:t xml:space="preserve"> </w:t>
      </w:r>
      <w:r>
        <w:t>его</w:t>
      </w:r>
      <w:r>
        <w:t xml:space="preserve"> </w:t>
      </w:r>
      <w:r>
        <w:t>руководителя</w:t>
      </w:r>
      <w:r>
        <w:t xml:space="preserve">,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выданной</w:t>
      </w:r>
      <w:r>
        <w:t xml:space="preserve"> </w:t>
      </w:r>
      <w:r>
        <w:t>ему</w:t>
      </w:r>
      <w:r>
        <w:t xml:space="preserve"> </w:t>
      </w:r>
      <w:r>
        <w:t>эмитентом</w:t>
      </w:r>
      <w:r>
        <w:t xml:space="preserve"> </w:t>
      </w:r>
      <w:r>
        <w:t>доверенности</w:t>
      </w:r>
      <w:r>
        <w:t xml:space="preserve"> -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изменениях</w:t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>3.2.</w:t>
      </w:r>
      <w:r>
        <w:t xml:space="preserve">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55.30</w:t>
      </w:r>
    </w:p>
    <w:p w:rsidR="00000000" w:rsidRDefault="004A0BED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</w:t>
      </w:r>
      <w:r>
        <w:t>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4A0BED">
      <w:pPr>
        <w:ind w:left="400"/>
      </w:pP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ind w:left="400"/>
      </w:pPr>
    </w:p>
    <w:p w:rsidR="00000000" w:rsidRDefault="004A0BED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proofErr w:type="gramStart"/>
      <w:r>
        <w:t>: :</w:t>
      </w:r>
      <w:r>
        <w:rPr>
          <w:rStyle w:val="Subst"/>
        </w:rPr>
        <w:t xml:space="preserve"> </w:t>
      </w:r>
      <w:proofErr w:type="gramEnd"/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проживания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2011, 9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</w:t>
            </w:r>
            <w:r>
              <w:t>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14 466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26 240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100</w:t>
            </w:r>
          </w:p>
        </w:tc>
      </w:tr>
    </w:tbl>
    <w:p w:rsidR="00000000" w:rsidRDefault="004A0BED"/>
    <w:p w:rsidR="00000000" w:rsidRDefault="004A0BED">
      <w:pPr>
        <w:pStyle w:val="SubHeading"/>
        <w:ind w:left="400"/>
      </w:pPr>
      <w:r>
        <w:t>Изменения</w:t>
      </w:r>
      <w:r>
        <w:t xml:space="preserve"> </w:t>
      </w:r>
      <w:r>
        <w:t>разме</w:t>
      </w:r>
      <w:r>
        <w:t>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4A0BED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4A0BED">
      <w:pPr>
        <w:ind w:left="400"/>
      </w:pP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</w:t>
      </w:r>
      <w:r>
        <w:t>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4A0BED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</w:t>
            </w:r>
            <w:r>
              <w:t>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</w:t>
            </w:r>
            <w:r>
              <w:t>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roofErr w:type="spellStart"/>
            <w:r>
              <w:t>Справочно</w:t>
            </w:r>
            <w:proofErr w:type="spellEnd"/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175</w:t>
            </w:r>
          </w:p>
        </w:tc>
      </w:tr>
    </w:tbl>
    <w:p w:rsidR="00000000" w:rsidRDefault="004A0BED"/>
    <w:p w:rsidR="00000000" w:rsidRDefault="004A0BED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</w:t>
      </w:r>
      <w:r>
        <w:t>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</w:t>
      </w:r>
      <w:r>
        <w:t>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4A0BED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lastRenderedPageBreak/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</w:t>
      </w:r>
      <w:r>
        <w:t>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4A0BED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2012 </w:t>
      </w:r>
      <w:r>
        <w:t>г</w:t>
      </w:r>
      <w:r>
        <w:t>.</w:t>
      </w:r>
    </w:p>
    <w:p w:rsidR="00000000" w:rsidRDefault="004A0BED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4A0BED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4A0BED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4A0BED">
      <w:pPr>
        <w:ind w:left="600"/>
      </w:pPr>
      <w:r>
        <w:rPr>
          <w:rStyle w:val="Subst"/>
        </w:rPr>
        <w:t>Изменени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A0BED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4A0BED">
      <w:pPr>
        <w:ind w:left="600"/>
      </w:pPr>
      <w:r>
        <w:rPr>
          <w:rStyle w:val="Subst"/>
        </w:rPr>
        <w:t>Импортны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A0BED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свою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Бурный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туристической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увеличивает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гостиничные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вызвал </w:t>
      </w:r>
      <w:r>
        <w:rPr>
          <w:rStyle w:val="Subst"/>
        </w:rPr>
        <w:t xml:space="preserve"> </w:t>
      </w:r>
      <w:r>
        <w:rPr>
          <w:rStyle w:val="Subst"/>
        </w:rPr>
        <w:t>интерес</w:t>
      </w:r>
      <w:r>
        <w:rPr>
          <w:rStyle w:val="Subst"/>
        </w:rPr>
        <w:t xml:space="preserve"> </w:t>
      </w:r>
      <w:r>
        <w:rPr>
          <w:rStyle w:val="Subst"/>
        </w:rPr>
        <w:t>стол</w:t>
      </w:r>
      <w:r>
        <w:rPr>
          <w:rStyle w:val="Subst"/>
        </w:rPr>
        <w:t>ичных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.</w:t>
      </w:r>
      <w:r>
        <w:rPr>
          <w:rStyle w:val="Subst"/>
        </w:rPr>
        <w:t> 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 </w:t>
      </w:r>
      <w:r>
        <w:rPr>
          <w:rStyle w:val="Subst"/>
        </w:rPr>
        <w:t>корпораций</w:t>
      </w:r>
      <w:r>
        <w:rPr>
          <w:rStyle w:val="Subst"/>
        </w:rPr>
        <w:t xml:space="preserve"> </w:t>
      </w:r>
      <w:r>
        <w:rPr>
          <w:rStyle w:val="Subst"/>
        </w:rPr>
        <w:t>объявили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планах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строительству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уже</w:t>
      </w:r>
      <w:r>
        <w:rPr>
          <w:rStyle w:val="Subst"/>
        </w:rPr>
        <w:t xml:space="preserve"> </w:t>
      </w:r>
      <w:r>
        <w:rPr>
          <w:rStyle w:val="Subst"/>
        </w:rPr>
        <w:t>существующих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отраслевом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ожидать</w:t>
      </w:r>
      <w:r>
        <w:rPr>
          <w:rStyle w:val="Subst"/>
        </w:rPr>
        <w:t xml:space="preserve"> </w:t>
      </w:r>
      <w:r>
        <w:rPr>
          <w:rStyle w:val="Subst"/>
        </w:rPr>
        <w:t>серьёзных</w:t>
      </w:r>
      <w:r>
        <w:rPr>
          <w:rStyle w:val="Subst"/>
        </w:rPr>
        <w:t xml:space="preserve"> </w:t>
      </w:r>
      <w:r>
        <w:rPr>
          <w:rStyle w:val="Subst"/>
        </w:rPr>
        <w:t>изме</w:t>
      </w:r>
      <w:r>
        <w:rPr>
          <w:rStyle w:val="Subst"/>
        </w:rPr>
        <w:t>нений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направлены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сферы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, </w:t>
      </w:r>
      <w:r>
        <w:rPr>
          <w:rStyle w:val="Subst"/>
        </w:rPr>
        <w:t>совершенствование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,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</w:t>
      </w:r>
      <w:r>
        <w:t>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4A0BED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A0BED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</w:t>
      </w:r>
      <w:r>
        <w:t>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A0BE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A0BED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</w:t>
      </w:r>
      <w:r>
        <w:t>уг</w:t>
      </w:r>
      <w:r>
        <w:t xml:space="preserve"> </w:t>
      </w:r>
      <w:r>
        <w:t>связи</w:t>
      </w:r>
    </w:p>
    <w:p w:rsidR="00000000" w:rsidRDefault="004A0BE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A0BED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сферы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, </w:t>
      </w:r>
      <w:r>
        <w:rPr>
          <w:rStyle w:val="Subst"/>
        </w:rPr>
        <w:t>совершенствование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, </w:t>
      </w:r>
      <w:r>
        <w:rPr>
          <w:rStyle w:val="Subst"/>
        </w:rPr>
        <w:t>сокраще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4A0BED">
      <w:pPr>
        <w:pStyle w:val="2"/>
      </w:pPr>
      <w:r>
        <w:lastRenderedPageBreak/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4A0BED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</w:t>
      </w:r>
      <w:r>
        <w:t>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4A0BED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</w:t>
      </w:r>
      <w:r>
        <w:t>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4A0BED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7 482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2 977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</w:p>
    <w:p w:rsidR="00000000" w:rsidRDefault="004A0BED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30.09.2012</w:t>
      </w:r>
    </w:p>
    <w:p w:rsidR="00000000" w:rsidRDefault="004A0BED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</w:t>
      </w:r>
      <w:r>
        <w:t>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</w:t>
      </w:r>
      <w:r>
        <w:t>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</w:t>
      </w:r>
      <w:r>
        <w:t>редств</w:t>
      </w:r>
      <w:r>
        <w:t>.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1360"/>
        <w:gridCol w:w="1360"/>
        <w:gridCol w:w="1360"/>
        <w:gridCol w:w="136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Полная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Остаточная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вычетом</w:t>
            </w:r>
            <w:r>
              <w:t xml:space="preserve"> </w:t>
            </w:r>
            <w:r>
              <w:t>амортизации</w:t>
            </w:r>
            <w:r>
              <w:t xml:space="preserve">) </w:t>
            </w:r>
            <w:r>
              <w:t>стоимость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Дата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переоценки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Полная</w:t>
            </w:r>
            <w:r>
              <w:t xml:space="preserve"> </w:t>
            </w:r>
            <w:r>
              <w:t>восстановительная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переоценки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Остаточная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вычетом</w:t>
            </w:r>
            <w:r>
              <w:t xml:space="preserve"> </w:t>
            </w:r>
            <w:r>
              <w:t>амортизации</w:t>
            </w:r>
            <w:r>
              <w:t xml:space="preserve">) </w:t>
            </w:r>
            <w:r>
              <w:t>восстановительная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переоценки</w:t>
            </w:r>
          </w:p>
        </w:tc>
      </w:tr>
    </w:tbl>
    <w:p w:rsidR="00000000" w:rsidRDefault="004A0BED"/>
    <w:p w:rsidR="00000000" w:rsidRDefault="004A0BED">
      <w:pPr>
        <w:ind w:left="200"/>
      </w:pPr>
      <w:proofErr w:type="gramStart"/>
      <w:r>
        <w:t>Указывается</w:t>
      </w:r>
      <w:r>
        <w:t xml:space="preserve"> </w:t>
      </w:r>
      <w:r>
        <w:t>способ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(</w:t>
      </w:r>
      <w:r>
        <w:t>по</w:t>
      </w:r>
      <w:r>
        <w:t xml:space="preserve"> </w:t>
      </w:r>
      <w:r>
        <w:t>коэффициентам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статистике</w:t>
      </w:r>
      <w:r>
        <w:t xml:space="preserve">, </w:t>
      </w:r>
      <w:r>
        <w:t>по</w:t>
      </w:r>
      <w:r>
        <w:t xml:space="preserve"> </w:t>
      </w:r>
      <w:r>
        <w:t>рын</w:t>
      </w:r>
      <w:r>
        <w:t>очной</w:t>
      </w:r>
      <w:r>
        <w:t xml:space="preserve"> </w:t>
      </w:r>
      <w:r>
        <w:t>стоимости</w:t>
      </w:r>
      <w:r>
        <w:t xml:space="preserve"> </w:t>
      </w:r>
      <w:r>
        <w:t>соответствующих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подтвержденной</w:t>
      </w:r>
      <w:r>
        <w:t xml:space="preserve"> </w:t>
      </w:r>
      <w:r>
        <w:t>документами</w:t>
      </w:r>
      <w:r>
        <w:t xml:space="preserve"> </w:t>
      </w:r>
      <w:r>
        <w:t>или</w:t>
      </w:r>
      <w:r>
        <w:t xml:space="preserve"> </w:t>
      </w:r>
      <w:r>
        <w:t>экспертными</w:t>
      </w:r>
      <w:r>
        <w:t xml:space="preserve"> </w:t>
      </w:r>
      <w:r>
        <w:t>заключениями</w:t>
      </w:r>
      <w:r>
        <w:t>.</w:t>
      </w:r>
      <w:proofErr w:type="gramEnd"/>
      <w:r>
        <w:t xml:space="preserve"> </w:t>
      </w:r>
      <w:proofErr w:type="gramStart"/>
      <w:r>
        <w:t>При</w:t>
      </w:r>
      <w:r>
        <w:t xml:space="preserve"> </w:t>
      </w:r>
      <w:r>
        <w:t>наличии</w:t>
      </w:r>
      <w:r>
        <w:t xml:space="preserve"> </w:t>
      </w:r>
      <w:r>
        <w:t>экспертного</w:t>
      </w:r>
      <w:r>
        <w:t xml:space="preserve"> </w:t>
      </w:r>
      <w:r>
        <w:t>заключения</w:t>
      </w:r>
      <w:r>
        <w:t xml:space="preserve"> </w:t>
      </w:r>
      <w:r>
        <w:t>необходимо</w:t>
      </w:r>
      <w:r>
        <w:t xml:space="preserve"> </w:t>
      </w:r>
      <w:r>
        <w:t>указать</w:t>
      </w:r>
      <w:r>
        <w:t xml:space="preserve"> </w:t>
      </w:r>
      <w:r>
        <w:t>методику</w:t>
      </w:r>
      <w:r>
        <w:t xml:space="preserve"> </w:t>
      </w:r>
      <w:r>
        <w:t>оценки</w:t>
      </w:r>
      <w:r>
        <w:t>):</w:t>
      </w:r>
      <w:r>
        <w:br/>
      </w:r>
      <w:proofErr w:type="gramEnd"/>
    </w:p>
    <w:p w:rsidR="00000000" w:rsidRDefault="004A0BED">
      <w:pPr>
        <w:ind w:left="200"/>
      </w:pPr>
      <w:proofErr w:type="gramStart"/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</w:t>
      </w:r>
      <w:r>
        <w:t>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</w:t>
      </w:r>
      <w:r>
        <w:t>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).:</w:t>
      </w:r>
      <w:r>
        <w:br/>
      </w:r>
      <w:proofErr w:type="gramEnd"/>
    </w:p>
    <w:p w:rsidR="00000000" w:rsidRDefault="004A0BED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4A0BED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</w:t>
      </w:r>
      <w:r>
        <w:t>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2011, 9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13.39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40.53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1.38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Рентабель</w:t>
            </w:r>
            <w:r>
              <w:t>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18.45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51.44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19.74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53.17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</w:t>
      </w:r>
      <w:r>
        <w:t>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4A0BED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</w:t>
      </w:r>
      <w:r>
        <w:t>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proofErr w:type="gramStart"/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</w:t>
      </w:r>
      <w:r>
        <w:t>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</w:t>
      </w:r>
      <w:r>
        <w:t>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A0BED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</w:t>
      </w:r>
      <w:r>
        <w:t>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4A0BED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2011, 9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9 816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15 499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9.83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24.03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lastRenderedPageBreak/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6.02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10.59</w:t>
            </w:r>
          </w:p>
        </w:tc>
      </w:tr>
    </w:tbl>
    <w:p w:rsidR="00000000" w:rsidRDefault="004A0BED"/>
    <w:p w:rsidR="00000000" w:rsidRDefault="004A0BED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ind w:left="200"/>
      </w:pPr>
    </w:p>
    <w:p w:rsidR="00000000" w:rsidRDefault="004A0BED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</w:t>
      </w:r>
      <w:r>
        <w:t>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</w:t>
      </w:r>
      <w:r>
        <w:t>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proofErr w:type="gramStart"/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</w:t>
      </w:r>
      <w:r>
        <w:t>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proofErr w:type="gramStart"/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A0BED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A0BED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A0BED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A0BED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</w:t>
      </w:r>
      <w:r>
        <w:t>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A0BED">
      <w:pPr>
        <w:ind w:left="200"/>
      </w:pP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патентов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изобретение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полезную</w:t>
      </w:r>
      <w:r>
        <w:rPr>
          <w:rStyle w:val="Subst"/>
        </w:rPr>
        <w:t xml:space="preserve"> </w:t>
      </w:r>
      <w:r>
        <w:rPr>
          <w:rStyle w:val="Subst"/>
        </w:rPr>
        <w:t>модель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промышленный</w:t>
      </w:r>
      <w:r>
        <w:rPr>
          <w:rStyle w:val="Subst"/>
        </w:rPr>
        <w:t xml:space="preserve"> </w:t>
      </w:r>
      <w:r>
        <w:rPr>
          <w:rStyle w:val="Subst"/>
        </w:rPr>
        <w:t>образец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свидетельств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товарных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, </w:t>
      </w:r>
      <w:r>
        <w:rPr>
          <w:rStyle w:val="Subst"/>
        </w:rPr>
        <w:t>наименования</w:t>
      </w:r>
      <w:r>
        <w:rPr>
          <w:rStyle w:val="Subst"/>
        </w:rPr>
        <w:t xml:space="preserve"> </w:t>
      </w:r>
      <w:r>
        <w:rPr>
          <w:rStyle w:val="Subst"/>
        </w:rPr>
        <w:t>места</w:t>
      </w:r>
      <w:r>
        <w:rPr>
          <w:rStyle w:val="Subst"/>
        </w:rPr>
        <w:t xml:space="preserve"> </w:t>
      </w:r>
      <w:r>
        <w:rPr>
          <w:rStyle w:val="Subst"/>
        </w:rPr>
        <w:t>происхождения</w:t>
      </w:r>
      <w:r>
        <w:rPr>
          <w:rStyle w:val="Subst"/>
        </w:rPr>
        <w:t xml:space="preserve"> </w:t>
      </w:r>
      <w:r>
        <w:rPr>
          <w:rStyle w:val="Subst"/>
        </w:rPr>
        <w:t>товара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продолжением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развитием</w:t>
      </w:r>
      <w:r>
        <w:rPr>
          <w:rStyle w:val="Subst"/>
        </w:rPr>
        <w:t xml:space="preserve"> </w:t>
      </w:r>
      <w:r>
        <w:rPr>
          <w:rStyle w:val="Subst"/>
        </w:rPr>
        <w:t>сферы</w:t>
      </w:r>
      <w:r>
        <w:rPr>
          <w:rStyle w:val="Subst"/>
        </w:rPr>
        <w:t xml:space="preserve"> </w:t>
      </w:r>
      <w:r>
        <w:rPr>
          <w:rStyle w:val="Subst"/>
        </w:rPr>
        <w:t>туристических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ожидается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потребности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услугах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Бурный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туристической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увеличивает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гостиничные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вызвал </w:t>
      </w:r>
      <w:r>
        <w:rPr>
          <w:rStyle w:val="Subst"/>
        </w:rPr>
        <w:t xml:space="preserve"> </w:t>
      </w:r>
      <w:r>
        <w:rPr>
          <w:rStyle w:val="Subst"/>
        </w:rPr>
        <w:t>интерес</w:t>
      </w:r>
      <w:r>
        <w:rPr>
          <w:rStyle w:val="Subst"/>
        </w:rPr>
        <w:t xml:space="preserve"> </w:t>
      </w:r>
      <w:r>
        <w:rPr>
          <w:rStyle w:val="Subst"/>
        </w:rPr>
        <w:t>столичных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.</w:t>
      </w:r>
      <w:r>
        <w:rPr>
          <w:rStyle w:val="Subst"/>
        </w:rPr>
        <w:t> 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 </w:t>
      </w:r>
      <w:r>
        <w:rPr>
          <w:rStyle w:val="Subst"/>
        </w:rPr>
        <w:t>корпораций</w:t>
      </w:r>
      <w:r>
        <w:rPr>
          <w:rStyle w:val="Subst"/>
        </w:rPr>
        <w:t xml:space="preserve"> </w:t>
      </w:r>
      <w:r>
        <w:rPr>
          <w:rStyle w:val="Subst"/>
        </w:rPr>
        <w:t>объявили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планах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строительству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Калининграде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уже</w:t>
      </w:r>
      <w:r>
        <w:rPr>
          <w:rStyle w:val="Subst"/>
        </w:rPr>
        <w:t xml:space="preserve"> </w:t>
      </w:r>
      <w:r>
        <w:rPr>
          <w:rStyle w:val="Subst"/>
        </w:rPr>
        <w:t>существующих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отраслевом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гостиничных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ожидать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серьёзных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протяжении</w:t>
      </w:r>
      <w:r>
        <w:rPr>
          <w:rStyle w:val="Subst"/>
        </w:rPr>
        <w:t xml:space="preserve"> </w:t>
      </w:r>
      <w:r>
        <w:rPr>
          <w:rStyle w:val="Subst"/>
        </w:rPr>
        <w:t>долгих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сотрудничает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немецкими</w:t>
      </w:r>
      <w:r>
        <w:rPr>
          <w:rStyle w:val="Subst"/>
        </w:rPr>
        <w:t xml:space="preserve"> </w:t>
      </w:r>
      <w:r>
        <w:rPr>
          <w:rStyle w:val="Subst"/>
        </w:rPr>
        <w:t>туристически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агентствами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заключены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связи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падении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возникнуть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.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рублю</w:t>
      </w:r>
      <w:r>
        <w:rPr>
          <w:rStyle w:val="Subst"/>
        </w:rPr>
        <w:t xml:space="preserve"> </w:t>
      </w:r>
      <w:r>
        <w:rPr>
          <w:rStyle w:val="Subst"/>
        </w:rPr>
        <w:t>маловероятно</w:t>
      </w:r>
      <w:r>
        <w:rPr>
          <w:rStyle w:val="Subst"/>
        </w:rPr>
        <w:t xml:space="preserve">,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3%.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Открыто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осуществляемая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“Калининград”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“</w:t>
      </w:r>
      <w:proofErr w:type="spellStart"/>
      <w:r>
        <w:rPr>
          <w:rStyle w:val="Subst"/>
        </w:rPr>
        <w:t>Олимпик</w:t>
      </w:r>
      <w:proofErr w:type="spellEnd"/>
      <w:r>
        <w:rPr>
          <w:rStyle w:val="Subst"/>
        </w:rPr>
        <w:t>”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“Турист”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равных</w:t>
      </w:r>
      <w:r>
        <w:rPr>
          <w:rStyle w:val="Subst"/>
        </w:rPr>
        <w:t xml:space="preserve"> </w:t>
      </w:r>
      <w:r>
        <w:rPr>
          <w:rStyle w:val="Subst"/>
        </w:rPr>
        <w:t>качественных</w:t>
      </w:r>
      <w:r>
        <w:rPr>
          <w:rStyle w:val="Subst"/>
        </w:rPr>
        <w:t xml:space="preserve"> </w:t>
      </w:r>
      <w:r>
        <w:rPr>
          <w:rStyle w:val="Subst"/>
        </w:rPr>
        <w:t>характерис</w:t>
      </w:r>
      <w:r>
        <w:rPr>
          <w:rStyle w:val="Subst"/>
        </w:rPr>
        <w:t>тиках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преимуществом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цена</w:t>
      </w:r>
      <w:r>
        <w:rPr>
          <w:rStyle w:val="Subst"/>
        </w:rPr>
        <w:t xml:space="preserve">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</w:t>
      </w:r>
      <w:r>
        <w:t>ках</w:t>
      </w:r>
      <w:r>
        <w:t xml:space="preserve">) </w:t>
      </w:r>
      <w:r>
        <w:t>эмитента</w:t>
      </w:r>
    </w:p>
    <w:p w:rsidR="00000000" w:rsidRDefault="004A0BED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регулирующие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вносились</w:t>
      </w:r>
      <w:r>
        <w:rPr>
          <w:rStyle w:val="Subst"/>
        </w:rPr>
        <w:t xml:space="preserve">. </w:t>
      </w:r>
      <w:r>
        <w:rPr>
          <w:rStyle w:val="Subst"/>
        </w:rPr>
        <w:br/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Валентинович</w:t>
      </w:r>
    </w:p>
    <w:p w:rsidR="00000000" w:rsidRDefault="004A0BED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1954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Пр</w:t>
            </w:r>
            <w:r>
              <w:t>едседатель</w:t>
            </w:r>
            <w:r>
              <w:t xml:space="preserve"> </w:t>
            </w:r>
            <w:r>
              <w:t>СД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15.4</w:t>
      </w:r>
    </w:p>
    <w:p w:rsidR="00000000" w:rsidRDefault="004A0BE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15.4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Муж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., </w:t>
      </w:r>
      <w:r>
        <w:rPr>
          <w:rStyle w:val="Subst"/>
        </w:rPr>
        <w:t>отец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 xml:space="preserve">., </w:t>
      </w:r>
      <w:proofErr w:type="spellStart"/>
      <w:r>
        <w:rPr>
          <w:rStyle w:val="Subst"/>
        </w:rPr>
        <w:t>свекр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</w:t>
      </w:r>
      <w:r>
        <w:rPr>
          <w:rStyle w:val="Subst"/>
        </w:rPr>
        <w:t>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</w:t>
      </w:r>
      <w:r>
        <w:t>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r>
        <w:rPr>
          <w:rStyle w:val="Subst"/>
        </w:rPr>
        <w:t>Михайловна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1954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ВГТРК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звукорежис</w:t>
            </w:r>
            <w:r>
              <w:t>сер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50.1</w:t>
      </w:r>
    </w:p>
    <w:p w:rsidR="00000000" w:rsidRDefault="004A0BE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50.1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Жена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., </w:t>
      </w:r>
      <w:r>
        <w:rPr>
          <w:rStyle w:val="Subst"/>
        </w:rPr>
        <w:t>мать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 xml:space="preserve">., </w:t>
      </w:r>
      <w:r>
        <w:rPr>
          <w:rStyle w:val="Subst"/>
        </w:rPr>
        <w:t>свекровь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</w:t>
      </w:r>
      <w:r>
        <w:t>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Игоревич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1979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</w:t>
      </w:r>
      <w:r>
        <w:t>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ООО</w:t>
            </w:r>
            <w:r>
              <w:t xml:space="preserve"> "</w:t>
            </w:r>
            <w:r>
              <w:t>Крафт</w:t>
            </w:r>
            <w:r>
              <w:t>-</w:t>
            </w:r>
            <w:r>
              <w:t>авто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Директ</w:t>
            </w:r>
            <w:r>
              <w:t>ор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13.5</w:t>
      </w:r>
    </w:p>
    <w:p w:rsidR="00000000" w:rsidRDefault="004A0BE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13.5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Сын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., </w:t>
      </w:r>
      <w:r>
        <w:rPr>
          <w:rStyle w:val="Subst"/>
        </w:rPr>
        <w:t>муж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</w:t>
      </w:r>
      <w:r>
        <w:t>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Шепелев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Григорий</w:t>
      </w:r>
      <w:r>
        <w:rPr>
          <w:rStyle w:val="Subst"/>
        </w:rPr>
        <w:t xml:space="preserve"> </w:t>
      </w:r>
      <w:r>
        <w:rPr>
          <w:rStyle w:val="Subst"/>
        </w:rPr>
        <w:t>Тимофеевич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</w:t>
      </w:r>
      <w:r>
        <w:t>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</w:t>
      </w:r>
    </w:p>
    <w:p w:rsidR="00000000" w:rsidRDefault="004A0BED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</w:t>
      </w:r>
      <w:r>
        <w:t>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>,</w:t>
      </w:r>
      <w:r>
        <w:t xml:space="preserve">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Игоревна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1979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</w:t>
      </w:r>
      <w:r>
        <w:t>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Главный</w:t>
            </w:r>
            <w:r>
              <w:t xml:space="preserve"> </w:t>
            </w:r>
            <w:r>
              <w:t>менеджер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</w:t>
      </w:r>
      <w:r>
        <w:rPr>
          <w:rStyle w:val="Subst"/>
        </w:rPr>
        <w:t>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</w:t>
      </w:r>
      <w:r>
        <w:t>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Жена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 xml:space="preserve">., </w:t>
      </w:r>
      <w:r>
        <w:rPr>
          <w:rStyle w:val="Subst"/>
        </w:rPr>
        <w:t>невестка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Зильберман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</w:t>
      </w:r>
      <w:r>
        <w:t>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</w:t>
      </w:r>
      <w:r>
        <w:t>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Шепелев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Григорий</w:t>
      </w:r>
      <w:r>
        <w:rPr>
          <w:rStyle w:val="Subst"/>
        </w:rPr>
        <w:t xml:space="preserve"> </w:t>
      </w:r>
      <w:r>
        <w:rPr>
          <w:rStyle w:val="Subst"/>
        </w:rPr>
        <w:t>Тимофеевич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</w:t>
      </w:r>
    </w:p>
    <w:p w:rsidR="00000000" w:rsidRDefault="004A0BE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0.14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</w:t>
      </w:r>
      <w:r>
        <w:t>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</w:t>
      </w:r>
      <w:r>
        <w:t>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</w:t>
      </w:r>
      <w:r>
        <w:rPr>
          <w:rStyle w:val="Subst"/>
        </w:rPr>
        <w:t>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</w:t>
      </w:r>
      <w:r>
        <w:t>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A0BED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</w:t>
      </w:r>
      <w:r>
        <w:t>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</w:t>
      </w:r>
      <w:r>
        <w:t>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4A0BED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4A0BED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304</w:t>
            </w:r>
          </w:p>
        </w:tc>
      </w:tr>
    </w:tbl>
    <w:p w:rsidR="00000000" w:rsidRDefault="004A0BED"/>
    <w:p w:rsidR="00000000" w:rsidRDefault="004A0BED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</w:t>
      </w:r>
      <w:r>
        <w:t>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4A0BED">
      <w:pPr>
        <w:pStyle w:val="ThinDelim"/>
      </w:pPr>
    </w:p>
    <w:p w:rsidR="00000000" w:rsidRDefault="004A0BED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</w:t>
      </w:r>
      <w:r>
        <w:t>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proofErr w:type="gramStart"/>
      <w:r>
        <w:t>.:</w:t>
      </w:r>
      <w:r>
        <w:br/>
      </w:r>
      <w:proofErr w:type="gramEnd"/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</w:t>
      </w:r>
      <w:r>
        <w:rPr>
          <w:rStyle w:val="Subst"/>
        </w:rPr>
        <w:t>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Мельникова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1951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</w:t>
      </w:r>
      <w:r>
        <w:t>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17.06.2010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ООО</w:t>
            </w:r>
            <w:r>
              <w:t xml:space="preserve"> "</w:t>
            </w:r>
            <w:r>
              <w:t>РСУ</w:t>
            </w:r>
            <w:r>
              <w:t xml:space="preserve"> </w:t>
            </w:r>
            <w:r>
              <w:t>ЖГПС</w:t>
            </w:r>
            <w:r>
              <w:t xml:space="preserve">", </w:t>
            </w:r>
            <w:r>
              <w:t>ООО</w:t>
            </w:r>
            <w:r>
              <w:t xml:space="preserve"> "</w:t>
            </w:r>
            <w:r>
              <w:t>Пруссия</w:t>
            </w:r>
            <w:r>
              <w:t>-</w:t>
            </w:r>
            <w:r>
              <w:t>Инвест</w:t>
            </w:r>
            <w:r>
              <w:t xml:space="preserve">", </w:t>
            </w:r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Бухгалтер</w:t>
            </w:r>
            <w:r>
              <w:t xml:space="preserve">, </w:t>
            </w:r>
            <w:r>
              <w:t>Зам</w:t>
            </w:r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</w:t>
      </w:r>
      <w:r>
        <w:t>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</w:t>
      </w:r>
      <w:r>
        <w:t>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</w:t>
      </w:r>
      <w:r>
        <w:t>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>,</w:t>
      </w:r>
      <w:r>
        <w:t xml:space="preserve">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усев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1967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специальное</w:t>
      </w:r>
    </w:p>
    <w:p w:rsidR="00000000" w:rsidRDefault="004A0BE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</w:t>
            </w:r>
            <w:r>
              <w:t>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03.04.2012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Энергетик</w:t>
            </w:r>
          </w:p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</w:t>
      </w:r>
      <w:r>
        <w:t>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Све</w:t>
      </w:r>
      <w:r>
        <w:t>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Полывянная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Анастасия</w:t>
      </w:r>
      <w:r>
        <w:rPr>
          <w:rStyle w:val="Subst"/>
        </w:rPr>
        <w:t xml:space="preserve"> </w:t>
      </w:r>
      <w:r>
        <w:rPr>
          <w:rStyle w:val="Subst"/>
        </w:rPr>
        <w:t>Вадимовна</w:t>
      </w:r>
    </w:p>
    <w:p w:rsidR="00000000" w:rsidRDefault="004A0BE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1988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A0BED">
      <w:pPr>
        <w:ind w:left="200"/>
      </w:pPr>
      <w:proofErr w:type="gramStart"/>
      <w:r>
        <w:lastRenderedPageBreak/>
        <w:t>Все</w:t>
      </w:r>
      <w:r>
        <w:t xml:space="preserve"> </w:t>
      </w:r>
      <w:r>
        <w:t>должност</w:t>
      </w:r>
      <w:r>
        <w:t>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27.02.2012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07.11.2012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ОАО</w:t>
            </w:r>
            <w:r>
              <w:t xml:space="preserve"> "</w:t>
            </w:r>
            <w:r>
              <w:t>ОДБ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r>
              <w:t>Менеджер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</w:t>
            </w:r>
            <w:r>
              <w:t>кламе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pStyle w:val="ThinDelim"/>
      </w:pPr>
    </w:p>
    <w:p w:rsidR="00000000" w:rsidRDefault="004A0BE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pStyle w:val="ThinDelim"/>
      </w:pPr>
    </w:p>
    <w:p w:rsidR="00000000" w:rsidRDefault="004A0BED">
      <w:pPr>
        <w:pStyle w:val="ThinDelim"/>
      </w:pPr>
    </w:p>
    <w:p w:rsidR="00000000" w:rsidRDefault="004A0BE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</w:t>
      </w:r>
      <w:r>
        <w:t>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</w:t>
      </w:r>
      <w:r>
        <w:t>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</w:t>
      </w:r>
      <w:r>
        <w:rPr>
          <w:rStyle w:val="Subst"/>
        </w:rPr>
        <w:t>ось</w:t>
      </w:r>
    </w:p>
    <w:p w:rsidR="00000000" w:rsidRDefault="004A0BE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</w:t>
      </w:r>
      <w:r>
        <w:t>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A0BE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A0BED">
      <w:pPr>
        <w:ind w:left="200"/>
      </w:pPr>
    </w:p>
    <w:p w:rsidR="00000000" w:rsidRDefault="004A0BED">
      <w:pPr>
        <w:ind w:left="200"/>
      </w:pPr>
    </w:p>
    <w:p w:rsidR="00000000" w:rsidRDefault="004A0BED">
      <w:pPr>
        <w:ind w:left="200"/>
      </w:pPr>
      <w:proofErr w:type="gramStart"/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</w:t>
      </w:r>
      <w:r>
        <w:t>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  <w:proofErr w:type="gramEnd"/>
    </w:p>
    <w:p w:rsidR="00000000" w:rsidRDefault="004A0BED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</w:t>
      </w:r>
      <w:r>
        <w:t>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proofErr w:type="gramStart"/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proofErr w:type="gramEnd"/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4A0BE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A0BED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4A0BE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</w:t>
            </w:r>
            <w:r>
              <w:t>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proofErr w:type="gramStart"/>
            <w:r>
              <w:t>контроля</w:t>
            </w:r>
            <w:r>
              <w:t xml:space="preserve"> </w:t>
            </w:r>
            <w:r>
              <w:t>за</w:t>
            </w:r>
            <w:proofErr w:type="gramEnd"/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lastRenderedPageBreak/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336</w:t>
            </w:r>
          </w:p>
        </w:tc>
      </w:tr>
    </w:tbl>
    <w:p w:rsidR="00000000" w:rsidRDefault="004A0BED"/>
    <w:p w:rsidR="00000000" w:rsidRDefault="004A0BED">
      <w:pPr>
        <w:ind w:left="400"/>
      </w:pPr>
      <w:proofErr w:type="spellStart"/>
      <w:proofErr w:type="gramStart"/>
      <w:r>
        <w:t>C</w:t>
      </w:r>
      <w:proofErr w:type="gramEnd"/>
      <w:r>
        <w:t>в</w:t>
      </w:r>
      <w:r>
        <w:t>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4A0BED">
      <w:pPr>
        <w:pStyle w:val="ThinDelim"/>
      </w:pP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3 784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137</w:t>
            </w:r>
          </w:p>
        </w:tc>
      </w:tr>
    </w:tbl>
    <w:p w:rsidR="00000000" w:rsidRDefault="004A0BED"/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</w:t>
      </w:r>
      <w:r>
        <w:t>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</w:t>
      </w:r>
      <w:r>
        <w:rPr>
          <w:rStyle w:val="Subst"/>
        </w:rPr>
        <w:t>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4A0BED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A0BED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A0BE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</w:t>
      </w:r>
      <w:r>
        <w:t>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147</w:t>
      </w:r>
    </w:p>
    <w:p w:rsidR="00000000" w:rsidRDefault="004A0BE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147</w:t>
      </w:r>
    </w:p>
    <w:p w:rsidR="00000000" w:rsidRDefault="004A0BED">
      <w:pPr>
        <w:pStyle w:val="ThinDelim"/>
      </w:pPr>
    </w:p>
    <w:p w:rsidR="00000000" w:rsidRDefault="004A0BED">
      <w:proofErr w:type="gramStart"/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</w:t>
      </w:r>
      <w:r>
        <w:t>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proofErr w:type="gramEnd"/>
    </w:p>
    <w:p w:rsidR="00000000" w:rsidRDefault="004A0BED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</w:p>
    <w:p w:rsidR="00000000" w:rsidRDefault="004A0BED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</w:t>
      </w:r>
      <w:r>
        <w:t>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4A0BED">
      <w:pPr>
        <w:pStyle w:val="2"/>
      </w:pPr>
      <w:r>
        <w:t xml:space="preserve">6.2.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</w:t>
      </w:r>
      <w:r>
        <w:lastRenderedPageBreak/>
        <w:t>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proofErr w:type="gramEnd"/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</w:t>
      </w:r>
      <w:r>
        <w:t>ций</w:t>
      </w:r>
    </w:p>
    <w:p w:rsidR="00000000" w:rsidRDefault="004A0BED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A0BE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A0BE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</w:t>
      </w:r>
      <w:r>
        <w:t>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A0BED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4A0BED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pPr>
        <w:ind w:left="200"/>
      </w:pPr>
      <w:proofErr w:type="gramStart"/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</w:t>
      </w:r>
      <w:r>
        <w:t>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</w:t>
      </w:r>
      <w:r>
        <w:t>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proofErr w:type="gramEnd"/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</w:t>
      </w:r>
      <w:r>
        <w:t>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4A0BED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A0BE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A0BED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A0BED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A0BED">
      <w:pPr>
        <w:ind w:left="400"/>
      </w:pPr>
      <w:r>
        <w:t>Едини</w:t>
      </w:r>
      <w:r>
        <w:t>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5 554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Дебиторская</w:t>
            </w:r>
            <w:r>
              <w:t xml:space="preserve"> </w:t>
            </w:r>
            <w:r>
              <w:t>задолж</w:t>
            </w:r>
            <w:r>
              <w:t>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lastRenderedPageBreak/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5 676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</w:t>
            </w:r>
            <w:r>
              <w:t>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4A0BED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дебиторов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ind w:left="400"/>
      </w:pPr>
    </w:p>
    <w:p w:rsidR="00000000" w:rsidRDefault="004A0BED">
      <w:pPr>
        <w:pStyle w:val="1"/>
      </w:pPr>
      <w:r>
        <w:t xml:space="preserve">VII.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A0BED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/>
    <w:p w:rsidR="00000000" w:rsidRDefault="004A0BE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4A0BED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>
      <w:pPr>
        <w:pStyle w:val="SubHeading"/>
      </w:pPr>
    </w:p>
    <w:p w:rsidR="00000000" w:rsidRDefault="004A0BED">
      <w:pPr>
        <w:pStyle w:val="SubHeading"/>
      </w:pPr>
    </w:p>
    <w:p w:rsidR="00000000" w:rsidRDefault="004A0BED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30.09.2012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“Открытые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двери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236006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Калининград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</w:tr>
    </w:tbl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 30.09.2012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31.12.2011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 31.12.2010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I. </w:t>
            </w:r>
            <w:r>
              <w:t>ВНЕОБО</w:t>
            </w:r>
            <w:r>
              <w:t>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4 505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4 833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proofErr w:type="spellStart"/>
            <w:r>
              <w:t>внеоборотные</w:t>
            </w:r>
            <w:proofErr w:type="spellEnd"/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4 505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4 833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9 046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2 417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2 903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</w:t>
            </w:r>
            <w:r>
              <w:t>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5 676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1 451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1 558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</w:t>
            </w:r>
            <w:r>
              <w:t>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16 173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4 902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4 137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20 678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9 735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8 306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 30.09.2012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31.12.2011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На</w:t>
            </w:r>
            <w:r>
              <w:t xml:space="preserve">  31.12.2010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</w:t>
            </w:r>
            <w:r>
              <w:t>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Переоценка</w:t>
            </w:r>
            <w:r>
              <w:t xml:space="preserve"> </w:t>
            </w:r>
            <w:proofErr w:type="spellStart"/>
            <w:r>
              <w:t>внеоборотных</w:t>
            </w:r>
            <w:proofErr w:type="spellEnd"/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1 917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1 917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1 321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1 321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1 321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16 764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6 129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4 645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20 004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9 369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7 885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Оценочные</w:t>
            </w:r>
            <w:r>
              <w:t xml:space="preserve"> </w:t>
            </w:r>
            <w:r>
              <w:t>обязательст</w:t>
            </w:r>
            <w: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673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366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</w:t>
            </w:r>
            <w:r>
              <w:t>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673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366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20 678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9 735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8 306</w:t>
            </w:r>
          </w:p>
        </w:tc>
      </w:tr>
    </w:tbl>
    <w:p w:rsidR="00000000" w:rsidRDefault="004A0BED"/>
    <w:p w:rsidR="00000000" w:rsidRDefault="004A0BED"/>
    <w:p w:rsidR="00000000" w:rsidRDefault="004A0BED">
      <w:pPr>
        <w:pStyle w:val="SubHeading"/>
      </w:pPr>
      <w:r>
        <w:br w:type="page"/>
      </w:r>
    </w:p>
    <w:p w:rsidR="00000000" w:rsidRDefault="004A0BED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2012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“О</w:t>
            </w:r>
            <w:r>
              <w:rPr>
                <w:b/>
                <w:bCs/>
              </w:rPr>
              <w:t>ткрытые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двери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Балтики”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236006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Калининград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BED"/>
        </w:tc>
      </w:tr>
    </w:tbl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.2012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26 240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14 466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-14 743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-11 971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11 497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2 495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11 497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2 495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256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-1 117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-614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10 636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1 937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в</w:t>
            </w:r>
            <w:r>
              <w:t xml:space="preserve"> </w:t>
            </w:r>
            <w:proofErr w:type="spellStart"/>
            <w:r>
              <w:t>т</w:t>
            </w:r>
            <w:r>
              <w:t>.</w:t>
            </w:r>
            <w:r>
              <w:t>ч</w:t>
            </w:r>
            <w:proofErr w:type="spellEnd"/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Изменение</w:t>
            </w:r>
            <w:r>
              <w:t xml:space="preserve"> </w:t>
            </w:r>
            <w:r>
              <w:t>отложен</w:t>
            </w:r>
            <w:r>
              <w:t>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10 636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1 937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proofErr w:type="spellStart"/>
            <w:r>
              <w:t>внеоборотных</w:t>
            </w:r>
            <w:proofErr w:type="spellEnd"/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right"/>
            </w:pPr>
            <w:r>
              <w:t>10 636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right"/>
            </w:pPr>
            <w:r>
              <w:t>1 937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/>
        </w:tc>
      </w:tr>
    </w:tbl>
    <w:p w:rsidR="00000000" w:rsidRDefault="004A0BED"/>
    <w:p w:rsidR="00000000" w:rsidRDefault="004A0BED"/>
    <w:p w:rsidR="00000000" w:rsidRDefault="004A0BED">
      <w:r>
        <w:br w:type="page"/>
      </w:r>
    </w:p>
    <w:p w:rsidR="00000000" w:rsidRDefault="004A0BED">
      <w:pPr>
        <w:pStyle w:val="2"/>
      </w:pPr>
      <w:r>
        <w:t xml:space="preserve">7.3. </w:t>
      </w:r>
      <w:r>
        <w:t>С</w:t>
      </w:r>
      <w:r>
        <w:t>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A0BED"/>
    <w:p w:rsidR="00000000" w:rsidRDefault="004A0BED"/>
    <w:p w:rsidR="00000000" w:rsidRDefault="004A0BED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нематериального</w:t>
      </w:r>
      <w:r>
        <w:rPr>
          <w:rStyle w:val="Subst"/>
        </w:rPr>
        <w:t xml:space="preserve"> </w:t>
      </w:r>
      <w:r>
        <w:rPr>
          <w:rStyle w:val="Subst"/>
        </w:rPr>
        <w:t>актива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единовреме</w:t>
      </w:r>
      <w:r>
        <w:rPr>
          <w:rStyle w:val="Subst"/>
        </w:rPr>
        <w:t>нном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14/2007. </w:t>
      </w:r>
      <w:r>
        <w:rPr>
          <w:rStyle w:val="Subst"/>
        </w:rPr>
        <w:br/>
      </w:r>
      <w:r>
        <w:rPr>
          <w:rStyle w:val="Subst"/>
        </w:rPr>
        <w:t>Нематериальный</w:t>
      </w:r>
      <w:r>
        <w:rPr>
          <w:rStyle w:val="Subst"/>
        </w:rPr>
        <w:t xml:space="preserve"> </w:t>
      </w:r>
      <w:r>
        <w:rPr>
          <w:rStyle w:val="Subst"/>
        </w:rPr>
        <w:t>актив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(</w:t>
      </w:r>
      <w:r>
        <w:rPr>
          <w:rStyle w:val="Subst"/>
        </w:rPr>
        <w:t>первоначальной</w:t>
      </w:r>
      <w:r>
        <w:rPr>
          <w:rStyle w:val="Subst"/>
        </w:rPr>
        <w:t xml:space="preserve">)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определенной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нематериальным</w:t>
      </w:r>
      <w:r>
        <w:rPr>
          <w:rStyle w:val="Subst"/>
        </w:rPr>
        <w:t xml:space="preserve"> </w:t>
      </w:r>
      <w:r>
        <w:rPr>
          <w:rStyle w:val="Subst"/>
        </w:rPr>
        <w:t>активам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амортизаци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соответствующее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, </w:t>
      </w:r>
      <w:r>
        <w:rPr>
          <w:rStyle w:val="Subst"/>
        </w:rPr>
        <w:t>поименованным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6/01.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выполнены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40 000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материа</w:t>
      </w:r>
      <w:r>
        <w:rPr>
          <w:rStyle w:val="Subst"/>
        </w:rPr>
        <w:t>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</w:t>
      </w:r>
      <w:proofErr w:type="gramStart"/>
      <w:r>
        <w:rPr>
          <w:rStyle w:val="Subst"/>
        </w:rPr>
        <w:t>дств</w:t>
      </w:r>
      <w:r>
        <w:rPr>
          <w:rStyle w:val="Subst"/>
        </w:rPr>
        <w:t xml:space="preserve"> </w:t>
      </w:r>
      <w:r>
        <w:rPr>
          <w:rStyle w:val="Subst"/>
        </w:rPr>
        <w:t>дл</w:t>
      </w:r>
      <w:proofErr w:type="gramEnd"/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(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N1 </w:t>
      </w:r>
      <w:r>
        <w:rPr>
          <w:rStyle w:val="Subst"/>
        </w:rPr>
        <w:t>от</w:t>
      </w:r>
      <w:r>
        <w:rPr>
          <w:rStyle w:val="Subst"/>
        </w:rPr>
        <w:t xml:space="preserve"> 01 </w:t>
      </w:r>
      <w:r>
        <w:rPr>
          <w:rStyle w:val="Subst"/>
        </w:rPr>
        <w:t>января</w:t>
      </w:r>
      <w:r>
        <w:rPr>
          <w:rStyle w:val="Subst"/>
        </w:rPr>
        <w:t xml:space="preserve"> 2002 </w:t>
      </w:r>
      <w:r>
        <w:rPr>
          <w:rStyle w:val="Subst"/>
        </w:rPr>
        <w:t>года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ремонтных</w:t>
      </w:r>
      <w:r>
        <w:rPr>
          <w:rStyle w:val="Subst"/>
        </w:rPr>
        <w:t xml:space="preserve"> </w:t>
      </w:r>
      <w:r>
        <w:rPr>
          <w:rStyle w:val="Subst"/>
        </w:rPr>
        <w:t>раб</w:t>
      </w:r>
      <w:r>
        <w:rPr>
          <w:rStyle w:val="Subst"/>
        </w:rPr>
        <w:t>от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производственным</w:t>
      </w:r>
      <w:r>
        <w:rPr>
          <w:rStyle w:val="Subst"/>
        </w:rPr>
        <w:t xml:space="preserve"> </w:t>
      </w:r>
      <w:r>
        <w:rPr>
          <w:rStyle w:val="Subst"/>
        </w:rPr>
        <w:t>запасам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готовая</w:t>
      </w:r>
      <w:r>
        <w:rPr>
          <w:rStyle w:val="Subst"/>
        </w:rPr>
        <w:t xml:space="preserve">  </w:t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5\01.</w:t>
      </w:r>
      <w:r>
        <w:rPr>
          <w:rStyle w:val="Subst"/>
        </w:rPr>
        <w:br/>
      </w:r>
      <w:r>
        <w:rPr>
          <w:rStyle w:val="Subst"/>
        </w:rPr>
        <w:t>Сырье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,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. 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Незавершенное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готовая</w:t>
      </w:r>
      <w:r>
        <w:rPr>
          <w:rStyle w:val="Subst"/>
        </w:rPr>
        <w:t xml:space="preserve"> </w:t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оцениваются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9/99, </w:t>
      </w:r>
      <w:r>
        <w:rPr>
          <w:rStyle w:val="Subst"/>
        </w:rPr>
        <w:t>ПБУ</w:t>
      </w:r>
      <w:r>
        <w:rPr>
          <w:rStyle w:val="Subst"/>
        </w:rPr>
        <w:t>10991.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вложениям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соотв</w:t>
      </w:r>
      <w:r>
        <w:rPr>
          <w:rStyle w:val="Subst"/>
        </w:rPr>
        <w:t>етствующее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, </w:t>
      </w:r>
      <w:r>
        <w:rPr>
          <w:rStyle w:val="Subst"/>
        </w:rPr>
        <w:t>поименованным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19/02.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возмещаемых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</w:t>
      </w:r>
      <w:r>
        <w:rPr>
          <w:rStyle w:val="Subst"/>
        </w:rPr>
        <w:t>орым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текущую</w:t>
      </w:r>
      <w:r>
        <w:rPr>
          <w:rStyle w:val="Subst"/>
        </w:rPr>
        <w:t xml:space="preserve"> </w:t>
      </w:r>
      <w:r>
        <w:rPr>
          <w:rStyle w:val="Subst"/>
        </w:rPr>
        <w:t>рыночную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корректировки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предыдущую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. </w:t>
      </w: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корректировка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(</w:t>
      </w:r>
      <w:r>
        <w:rPr>
          <w:rStyle w:val="Subst"/>
        </w:rPr>
        <w:t>ФИФО</w:t>
      </w:r>
      <w:r>
        <w:rPr>
          <w:rStyle w:val="Subst"/>
        </w:rPr>
        <w:t xml:space="preserve">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последней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lastRenderedPageBreak/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4A0BED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A0BE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A0BED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</w:t>
      </w:r>
      <w:r>
        <w:rPr>
          <w:rStyle w:val="Subst"/>
        </w:rPr>
        <w:t>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A0BED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4A0BED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A0BED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A0BED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</w:t>
      </w:r>
      <w:r>
        <w:t>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2 114</w:t>
      </w:r>
    </w:p>
    <w:p w:rsidR="00000000" w:rsidRDefault="004A0BED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4A0BE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</w:p>
    <w:p w:rsidR="00000000" w:rsidRDefault="004A0BE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proofErr w:type="gramStart"/>
      <w:r>
        <w:t>, %:</w:t>
      </w:r>
      <w:proofErr w:type="gramEnd"/>
    </w:p>
    <w:p w:rsidR="00000000" w:rsidRDefault="004A0BED">
      <w:pPr>
        <w:pStyle w:val="SubHeading"/>
        <w:ind w:left="200"/>
      </w:pPr>
      <w:r>
        <w:t>Привилегированные</w:t>
      </w:r>
    </w:p>
    <w:p w:rsidR="00000000" w:rsidRDefault="004A0BE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</w:p>
    <w:p w:rsidR="00000000" w:rsidRDefault="004A0BE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proofErr w:type="gramStart"/>
      <w:r>
        <w:t>, %:</w:t>
      </w:r>
      <w:proofErr w:type="gramEnd"/>
    </w:p>
    <w:p w:rsidR="00000000" w:rsidRDefault="004A0BED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A0BED">
      <w:pPr>
        <w:pStyle w:val="2"/>
      </w:pPr>
      <w:r>
        <w:t>8.1.</w:t>
      </w:r>
      <w:r>
        <w:t xml:space="preserve">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Уведомление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публикуется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печатном</w:t>
      </w:r>
      <w:r>
        <w:rPr>
          <w:rStyle w:val="Subst"/>
        </w:rPr>
        <w:t xml:space="preserve"> </w:t>
      </w:r>
      <w:r>
        <w:rPr>
          <w:rStyle w:val="Subst"/>
        </w:rPr>
        <w:t>издании</w:t>
      </w:r>
      <w:r>
        <w:rPr>
          <w:rStyle w:val="Subst"/>
        </w:rPr>
        <w:t xml:space="preserve"> </w:t>
      </w:r>
      <w:r>
        <w:rPr>
          <w:rStyle w:val="Subst"/>
        </w:rPr>
        <w:t>“</w:t>
      </w:r>
      <w:r>
        <w:rPr>
          <w:rStyle w:val="Subst"/>
        </w:rPr>
        <w:t>Ва</w:t>
      </w:r>
      <w:r>
        <w:rPr>
          <w:rStyle w:val="Subst"/>
        </w:rPr>
        <w:t>-</w:t>
      </w:r>
      <w:r>
        <w:rPr>
          <w:rStyle w:val="Subst"/>
        </w:rPr>
        <w:t>Банк”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ind w:left="200"/>
      </w:pPr>
      <w:proofErr w:type="gramStart"/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proofErr w:type="gramEnd"/>
      <w:r>
        <w:br/>
      </w:r>
      <w:r>
        <w:rPr>
          <w:rStyle w:val="Subst"/>
        </w:rPr>
        <w:lastRenderedPageBreak/>
        <w:t>Лицами</w:t>
      </w:r>
      <w:r>
        <w:rPr>
          <w:rStyle w:val="Subst"/>
        </w:rPr>
        <w:t xml:space="preserve"> (</w:t>
      </w:r>
      <w:r>
        <w:rPr>
          <w:rStyle w:val="Subst"/>
        </w:rPr>
        <w:t>органами</w:t>
      </w:r>
      <w:r>
        <w:rPr>
          <w:rStyle w:val="Subst"/>
        </w:rPr>
        <w:t xml:space="preserve">),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созывать</w:t>
      </w:r>
      <w:r>
        <w:rPr>
          <w:rStyle w:val="Subst"/>
        </w:rPr>
        <w:t xml:space="preserve"> (</w:t>
      </w:r>
      <w:r>
        <w:rPr>
          <w:rStyle w:val="Subst"/>
        </w:rPr>
        <w:t>требова</w:t>
      </w:r>
      <w:r>
        <w:rPr>
          <w:rStyle w:val="Subst"/>
        </w:rPr>
        <w:t>ть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)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: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акционеры</w:t>
      </w:r>
      <w:r>
        <w:rPr>
          <w:rStyle w:val="Subst"/>
        </w:rPr>
        <w:t xml:space="preserve">), </w:t>
      </w:r>
      <w:r>
        <w:rPr>
          <w:rStyle w:val="Subst"/>
        </w:rPr>
        <w:t>владеющие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размещенны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;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;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.  </w:t>
      </w:r>
      <w:r>
        <w:rPr>
          <w:rStyle w:val="Subst"/>
        </w:rPr>
        <w:br/>
      </w:r>
    </w:p>
    <w:p w:rsidR="00000000" w:rsidRDefault="004A0BED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4A0BED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: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владеющих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размещенных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;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</w:t>
      </w:r>
      <w:r>
        <w:t>(</w:t>
      </w:r>
      <w:r>
        <w:t>материалами</w:t>
      </w:r>
      <w:r>
        <w:t>):</w:t>
      </w:r>
      <w:r>
        <w:br/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ознакомиться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информацией</w:t>
      </w:r>
      <w:r>
        <w:rPr>
          <w:rStyle w:val="Subst"/>
        </w:rPr>
        <w:t xml:space="preserve"> (</w:t>
      </w:r>
      <w:r>
        <w:rPr>
          <w:rStyle w:val="Subst"/>
        </w:rPr>
        <w:t>материалами</w:t>
      </w:r>
      <w:r>
        <w:rPr>
          <w:rStyle w:val="Subst"/>
        </w:rPr>
        <w:t xml:space="preserve">), </w:t>
      </w:r>
      <w:r>
        <w:rPr>
          <w:rStyle w:val="Subst"/>
        </w:rPr>
        <w:t>предоставляемыми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: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Указанную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Калининград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,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Заозерье</w:t>
      </w:r>
      <w:r>
        <w:rPr>
          <w:rStyle w:val="Subst"/>
        </w:rPr>
        <w:t xml:space="preserve">, </w:t>
      </w:r>
      <w:r>
        <w:rPr>
          <w:rStyle w:val="Subst"/>
        </w:rPr>
        <w:t>гостиница</w:t>
      </w:r>
      <w:r>
        <w:rPr>
          <w:rStyle w:val="Subst"/>
        </w:rPr>
        <w:t xml:space="preserve"> </w:t>
      </w:r>
      <w:r>
        <w:rPr>
          <w:rStyle w:val="Subst"/>
        </w:rPr>
        <w:t>“Балтика”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</w:t>
      </w:r>
      <w:r>
        <w:t>я</w:t>
      </w:r>
      <w:r>
        <w:t>:</w:t>
      </w:r>
      <w:r>
        <w:br/>
      </w:r>
      <w:proofErr w:type="gramStart"/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ОДБ</w:t>
      </w:r>
      <w:r>
        <w:rPr>
          <w:rStyle w:val="Subst"/>
        </w:rPr>
        <w:t xml:space="preserve">",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проведении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4A0BED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A0BE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A0BED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4A0BED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4A0BED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000000" w:rsidRDefault="004A0BED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0.04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52 850</w:t>
      </w:r>
    </w:p>
    <w:p w:rsidR="00000000" w:rsidRDefault="004A0BED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</w:t>
      </w:r>
      <w:r>
        <w:t>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proofErr w:type="gramStart"/>
      <w:r>
        <w:t>отношении</w:t>
      </w:r>
      <w:proofErr w:type="gramEnd"/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</w:t>
      </w:r>
      <w:r>
        <w:t>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</w:p>
    <w:p w:rsidR="00000000" w:rsidRDefault="004A0BED">
      <w:pPr>
        <w:ind w:left="200"/>
      </w:pPr>
      <w:r>
        <w:lastRenderedPageBreak/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52 850</w:t>
      </w:r>
    </w:p>
    <w:p w:rsidR="00000000" w:rsidRDefault="004A0BE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</w:t>
      </w:r>
      <w:r>
        <w:t>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52 850</w:t>
      </w:r>
    </w:p>
    <w:p w:rsidR="00000000" w:rsidRDefault="004A0BED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850 000</w:t>
      </w:r>
    </w:p>
    <w:p w:rsidR="00000000" w:rsidRDefault="004A0BED">
      <w:pPr>
        <w:pStyle w:val="ThinDelim"/>
      </w:pPr>
    </w:p>
    <w:p w:rsidR="00000000" w:rsidRDefault="004A0BED">
      <w:pPr>
        <w:ind w:left="200"/>
      </w:pPr>
      <w:r>
        <w:t>Выпус</w:t>
      </w:r>
      <w:r>
        <w:t>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4A0BE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BED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A0BED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A0BED">
            <w:r>
              <w:t>22.12.1993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A0BED">
            <w:r>
              <w:t>1-01-04213-D</w:t>
            </w:r>
          </w:p>
        </w:tc>
      </w:tr>
    </w:tbl>
    <w:p w:rsidR="00000000" w:rsidRDefault="004A0BED"/>
    <w:p w:rsidR="00000000" w:rsidRDefault="004A0BED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52850 </w:t>
      </w:r>
      <w:r>
        <w:rPr>
          <w:rStyle w:val="Subst"/>
        </w:rPr>
        <w:t>штук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Каж</w:t>
      </w:r>
      <w:r>
        <w:rPr>
          <w:rStyle w:val="Subst"/>
        </w:rPr>
        <w:t>дая</w:t>
      </w:r>
      <w:r>
        <w:rPr>
          <w:rStyle w:val="Subst"/>
        </w:rPr>
        <w:t xml:space="preserve"> </w:t>
      </w:r>
      <w:r>
        <w:rPr>
          <w:rStyle w:val="Subst"/>
        </w:rPr>
        <w:t>обыкновенная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одинаковую</w:t>
      </w:r>
      <w:r>
        <w:rPr>
          <w:rStyle w:val="Subst"/>
        </w:rPr>
        <w:t xml:space="preserve"> </w:t>
      </w:r>
      <w:r>
        <w:rPr>
          <w:rStyle w:val="Subst"/>
        </w:rPr>
        <w:t>номинальную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/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4A0BE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</w:t>
      </w:r>
      <w:r>
        <w:t>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A0BED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A0BE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A0BE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A0BED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</w:t>
      </w:r>
      <w:r>
        <w:t>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>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4A0BED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4A0BED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</w:t>
      </w:r>
      <w:r>
        <w:t>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A0BED">
      <w:pPr>
        <w:ind w:left="200"/>
      </w:pPr>
    </w:p>
    <w:p w:rsidR="00000000" w:rsidRDefault="004A0BED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4A0BE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4A0BE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“Регистратор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НИКойл</w:t>
      </w:r>
      <w:proofErr w:type="spellEnd"/>
      <w:r>
        <w:rPr>
          <w:rStyle w:val="Subst"/>
        </w:rPr>
        <w:t>”</w:t>
      </w:r>
    </w:p>
    <w:p w:rsidR="00000000" w:rsidRDefault="004A0BE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</w:p>
    <w:p w:rsidR="00000000" w:rsidRDefault="004A0BED">
      <w:pPr>
        <w:ind w:left="4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121108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Ивана</w:t>
      </w:r>
      <w:r>
        <w:rPr>
          <w:rStyle w:val="Subst"/>
        </w:rPr>
        <w:t xml:space="preserve"> </w:t>
      </w:r>
      <w:r>
        <w:rPr>
          <w:rStyle w:val="Subst"/>
        </w:rPr>
        <w:t>Франко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8</w:t>
      </w:r>
    </w:p>
    <w:p w:rsidR="00000000" w:rsidRDefault="004A0BED">
      <w:pPr>
        <w:ind w:left="400"/>
      </w:pPr>
      <w:r>
        <w:t>ИНН</w:t>
      </w:r>
      <w:r>
        <w:t>:</w:t>
      </w:r>
      <w:r>
        <w:rPr>
          <w:rStyle w:val="Subst"/>
        </w:rPr>
        <w:t xml:space="preserve"> 7730081453</w:t>
      </w:r>
    </w:p>
    <w:p w:rsidR="00000000" w:rsidRDefault="004A0BE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1027700066607</w:t>
      </w:r>
    </w:p>
    <w:p w:rsidR="00000000" w:rsidRDefault="004A0BED">
      <w:pPr>
        <w:ind w:left="400"/>
      </w:pPr>
    </w:p>
    <w:p w:rsidR="00000000" w:rsidRDefault="004A0BED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A0BED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10-000-1-00-290</w:t>
      </w:r>
    </w:p>
    <w:p w:rsidR="00000000" w:rsidRDefault="004A0BED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17.06.2003</w:t>
      </w:r>
    </w:p>
    <w:p w:rsidR="00000000" w:rsidRDefault="004A0BED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</w:t>
      </w:r>
      <w:r>
        <w:t>твия</w:t>
      </w:r>
      <w:r>
        <w:t>:</w:t>
      </w:r>
    </w:p>
    <w:p w:rsidR="00000000" w:rsidRDefault="004A0BED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4A0BED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18.11.2004</w:t>
      </w:r>
    </w:p>
    <w:p w:rsidR="00000000" w:rsidRDefault="004A0BED">
      <w:pPr>
        <w:ind w:left="200"/>
      </w:pPr>
    </w:p>
    <w:p w:rsidR="00000000" w:rsidRDefault="004A0BED">
      <w:pPr>
        <w:pStyle w:val="ThinDelim"/>
      </w:pPr>
    </w:p>
    <w:p w:rsidR="00000000" w:rsidRDefault="004A0BED">
      <w:pPr>
        <w:ind w:left="200"/>
      </w:pPr>
    </w:p>
    <w:p w:rsidR="00000000" w:rsidRDefault="004A0BED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</w:t>
      </w:r>
      <w:r>
        <w:t>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A0BED">
      <w:pPr>
        <w:ind w:left="200"/>
      </w:pP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прави</w:t>
      </w:r>
      <w:r>
        <w:rPr>
          <w:rStyle w:val="Subst"/>
        </w:rPr>
        <w:t>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осуществляемая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</w:t>
      </w:r>
      <w:r>
        <w:t>гам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каким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A0BED">
      <w:pPr>
        <w:pStyle w:val="2"/>
      </w:pPr>
      <w:r>
        <w:t xml:space="preserve">8.8.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</w:t>
      </w:r>
      <w:r>
        <w:t>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4A0BED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4A0BED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</w:t>
      </w:r>
      <w:r>
        <w:t>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4A0BED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4A0BED">
      <w:pPr>
        <w:ind w:left="200"/>
      </w:pP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Открытом</w:t>
      </w:r>
      <w:r>
        <w:rPr>
          <w:rStyle w:val="Subst"/>
        </w:rPr>
        <w:t xml:space="preserve"> </w:t>
      </w:r>
      <w:r>
        <w:rPr>
          <w:rStyle w:val="Subst"/>
        </w:rPr>
        <w:t>акционерном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“Открытые</w:t>
      </w:r>
      <w:r>
        <w:rPr>
          <w:rStyle w:val="Subst"/>
        </w:rPr>
        <w:t xml:space="preserve"> </w:t>
      </w:r>
      <w:r>
        <w:rPr>
          <w:rStyle w:val="Subst"/>
        </w:rPr>
        <w:t>двери</w:t>
      </w:r>
      <w:r>
        <w:rPr>
          <w:rStyle w:val="Subst"/>
        </w:rPr>
        <w:t xml:space="preserve"> </w:t>
      </w:r>
      <w:r>
        <w:rPr>
          <w:rStyle w:val="Subst"/>
        </w:rPr>
        <w:t>Балтики”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бумагах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"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федерал</w:t>
      </w:r>
      <w:r>
        <w:rPr>
          <w:rStyle w:val="Subst"/>
        </w:rPr>
        <w:t>ьными</w:t>
      </w:r>
      <w:r>
        <w:rPr>
          <w:rStyle w:val="Subst"/>
        </w:rPr>
        <w:t xml:space="preserve"> </w:t>
      </w:r>
      <w:r>
        <w:rPr>
          <w:rStyle w:val="Subst"/>
        </w:rPr>
        <w:t>законами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раскрытию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A0BED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A0BE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</w:t>
      </w:r>
      <w:r>
        <w:rPr>
          <w:rStyle w:val="Subst"/>
        </w:rPr>
        <w:t>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0BED">
      <w:pPr>
        <w:spacing w:before="0" w:after="0"/>
      </w:pPr>
      <w:r>
        <w:separator/>
      </w:r>
    </w:p>
  </w:endnote>
  <w:endnote w:type="continuationSeparator" w:id="0">
    <w:p w:rsidR="00000000" w:rsidRDefault="004A0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BED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0BED">
      <w:pPr>
        <w:spacing w:before="0" w:after="0"/>
      </w:pPr>
      <w:r>
        <w:separator/>
      </w:r>
    </w:p>
  </w:footnote>
  <w:footnote w:type="continuationSeparator" w:id="0">
    <w:p w:rsidR="00000000" w:rsidRDefault="004A0B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ED"/>
    <w:rsid w:val="004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11615</Words>
  <Characters>66206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2012-11-12T07:18:00Z</dcterms:created>
  <dcterms:modified xsi:type="dcterms:W3CDTF">2012-11-12T07:18:00Z</dcterms:modified>
</cp:coreProperties>
</file>