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A" w:rsidRDefault="000D28B9" w:rsidP="0016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B9">
        <w:rPr>
          <w:rFonts w:ascii="Times New Roman" w:hAnsi="Times New Roman" w:cs="Times New Roman"/>
          <w:b/>
          <w:sz w:val="28"/>
          <w:szCs w:val="28"/>
        </w:rPr>
        <w:t>АКЦИОНЕРНОЕ ОБЩЕСТВО</w:t>
      </w:r>
    </w:p>
    <w:p w:rsidR="00F8258A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«ПРОЕКТНЫЙ ИНСТИТУТ «АГРОПРОЕКТ»</w:t>
      </w: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28B9" w:rsidRP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755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28B9">
        <w:rPr>
          <w:rFonts w:ascii="Times New Roman" w:hAnsi="Times New Roman" w:cs="Times New Roman"/>
          <w:sz w:val="24"/>
          <w:szCs w:val="24"/>
        </w:rPr>
        <w:t>«Утвержден»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АО «П</w:t>
      </w:r>
      <w:r w:rsidR="00CB523B">
        <w:rPr>
          <w:rFonts w:ascii="Times New Roman" w:hAnsi="Times New Roman" w:cs="Times New Roman"/>
          <w:sz w:val="24"/>
          <w:szCs w:val="24"/>
        </w:rPr>
        <w:t>И</w:t>
      </w:r>
      <w:r w:rsidRPr="000D28B9">
        <w:rPr>
          <w:rFonts w:ascii="Times New Roman" w:hAnsi="Times New Roman" w:cs="Times New Roman"/>
          <w:sz w:val="24"/>
          <w:szCs w:val="24"/>
        </w:rPr>
        <w:t xml:space="preserve"> «Агропроект»</w:t>
      </w:r>
    </w:p>
    <w:p w:rsidR="000D28B9" w:rsidRPr="000D28B9" w:rsidRDefault="00CA5546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«_15</w:t>
      </w:r>
      <w:r w:rsidR="000D28B9" w:rsidRPr="000D28B9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0D28B9" w:rsidRPr="000D2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Предварительно утвержден: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Советом директоров АО</w:t>
      </w:r>
    </w:p>
    <w:p w:rsidR="000D28B9" w:rsidRPr="000D28B9" w:rsidRDefault="00CB523B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 Агроп</w:t>
      </w:r>
      <w:r w:rsidR="000D28B9" w:rsidRPr="000D28B9">
        <w:rPr>
          <w:rFonts w:ascii="Times New Roman" w:hAnsi="Times New Roman" w:cs="Times New Roman"/>
          <w:sz w:val="24"/>
          <w:szCs w:val="24"/>
        </w:rPr>
        <w:t>роект»</w:t>
      </w:r>
    </w:p>
    <w:p w:rsidR="000D28B9" w:rsidRPr="000D28B9" w:rsidRDefault="00CA5546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«_10</w:t>
      </w:r>
      <w:r w:rsidR="000D28B9" w:rsidRPr="000D28B9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мая 2018</w:t>
      </w:r>
      <w:r w:rsidR="000D28B9" w:rsidRPr="000D2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75527">
        <w:rPr>
          <w:rFonts w:ascii="Times New Roman" w:hAnsi="Times New Roman" w:cs="Times New Roman"/>
          <w:sz w:val="24"/>
          <w:szCs w:val="24"/>
        </w:rPr>
        <w:t xml:space="preserve"> 2</w:t>
      </w:r>
      <w:r w:rsidRPr="000D28B9">
        <w:rPr>
          <w:rFonts w:ascii="Times New Roman" w:hAnsi="Times New Roman" w:cs="Times New Roman"/>
          <w:sz w:val="24"/>
          <w:szCs w:val="24"/>
        </w:rPr>
        <w:t xml:space="preserve">  от    </w:t>
      </w:r>
      <w:r w:rsidR="00CA5546">
        <w:rPr>
          <w:rFonts w:ascii="Times New Roman" w:hAnsi="Times New Roman" w:cs="Times New Roman"/>
          <w:sz w:val="24"/>
          <w:szCs w:val="24"/>
        </w:rPr>
        <w:t>10 мая 2018</w:t>
      </w:r>
      <w:r w:rsidRPr="000D2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28B9" w:rsidRP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28B9">
        <w:rPr>
          <w:rFonts w:ascii="Times New Roman" w:hAnsi="Times New Roman" w:cs="Times New Roman"/>
          <w:sz w:val="24"/>
          <w:szCs w:val="24"/>
        </w:rPr>
        <w:t>В.С.Крючков</w:t>
      </w: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РЕЗУЛЬТАТАМ РАБОТЫ</w:t>
      </w:r>
    </w:p>
    <w:p w:rsidR="000D28B9" w:rsidRDefault="00CA5546" w:rsidP="000D28B9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</w:t>
      </w:r>
      <w:r w:rsidR="000D28B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P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Йошкар-Ола</w:t>
      </w: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годового отчета</w:t>
      </w:r>
    </w:p>
    <w:p w:rsidR="00CB523B" w:rsidRDefault="00CB523B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0D2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«Проектный институт «Агропроект»</w:t>
      </w:r>
    </w:p>
    <w:p w:rsidR="001A2E95" w:rsidRDefault="001A2E95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5"/>
        <w:gridCol w:w="1666"/>
      </w:tblGrid>
      <w:tr w:rsidR="001A2E95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95" w:rsidRPr="000D28B9">
              <w:rPr>
                <w:rFonts w:ascii="Times New Roman" w:hAnsi="Times New Roman" w:cs="Times New Roman"/>
                <w:sz w:val="24"/>
                <w:szCs w:val="24"/>
              </w:rPr>
              <w:t>Положение общества в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 xml:space="preserve"> отрасли. Основные сведения об О</w:t>
            </w:r>
            <w:r w:rsidR="001A2E95" w:rsidRPr="000D28B9">
              <w:rPr>
                <w:rFonts w:ascii="Times New Roman" w:hAnsi="Times New Roman" w:cs="Times New Roman"/>
                <w:sz w:val="24"/>
                <w:szCs w:val="24"/>
              </w:rPr>
              <w:t>бществе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2.Приорит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етные направления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 Совета директоров (наблюдательного совета) о результатах развития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каждого из использованных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акционерным обществом в отчетном году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(атомная энергия, тепловая энергия,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электромагнитная энергия, нефть,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автомобильный, топливо дизельное, мазут топочный,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газ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стественный (природный), уголь,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горючие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>торф и др.) в натуральном выражении и в денежном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B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выражении  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спективы развития акционерного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бщества.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6.Отчет о выплате объявленных (нач</w:t>
            </w:r>
            <w:r w:rsidR="00AA2C6E">
              <w:rPr>
                <w:rFonts w:ascii="Times New Roman" w:hAnsi="Times New Roman" w:cs="Times New Roman"/>
                <w:sz w:val="24"/>
                <w:szCs w:val="24"/>
              </w:rPr>
              <w:t>исленных) дивиденд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ов по акциям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7.Описание основных факторов риска, связанны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х с деятельностью акционерного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8.Сведения 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о крупных сделках, совершенных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бществом в отчетном году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CF" w:rsidRPr="00D160CF" w:rsidTr="009362C8">
        <w:tc>
          <w:tcPr>
            <w:tcW w:w="7185" w:type="dxa"/>
          </w:tcPr>
          <w:p w:rsid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9.Сведения о сделках с за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интересованностью, совершенных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бществом в отчетном году</w:t>
            </w:r>
          </w:p>
        </w:tc>
        <w:tc>
          <w:tcPr>
            <w:tcW w:w="1666" w:type="dxa"/>
          </w:tcPr>
          <w:p w:rsidR="00D160CF" w:rsidRPr="00D160CF" w:rsidRDefault="00D160CF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10.Состав Совета директоров акционерного общества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11.Сведения о лице, занимающем должность единоличного исполнительного органа акционерного общества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790C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политики акционерного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B">
              <w:rPr>
                <w:rFonts w:ascii="Times New Roman" w:hAnsi="Times New Roman" w:cs="Times New Roman"/>
                <w:sz w:val="24"/>
                <w:szCs w:val="24"/>
              </w:rPr>
              <w:t>общества в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и (или) компенсации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расходов. Критерии определения и размер вознаграждения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(компенсации расходов) лица, занимающего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диноличного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и каждого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Совета директоров акционерного общества, выплаченного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или выплачиваемого по результатам 201</w:t>
            </w:r>
            <w:r w:rsidR="00790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Сведения (отчет) о соблюдении акционерным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обществом принципов и рекомендаций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корпоративного управления, рекомендованного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95">
              <w:rPr>
                <w:rFonts w:ascii="Times New Roman" w:hAnsi="Times New Roman" w:cs="Times New Roman"/>
                <w:sz w:val="24"/>
                <w:szCs w:val="24"/>
              </w:rPr>
              <w:t>применению банком России.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14.Раздел о состоянии стоимости чистых активов акционерного общества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95" w:rsidRPr="00D160CF" w:rsidTr="009362C8">
        <w:tc>
          <w:tcPr>
            <w:tcW w:w="7185" w:type="dxa"/>
          </w:tcPr>
          <w:p w:rsidR="001A2E95" w:rsidRPr="00D160CF" w:rsidRDefault="00D160CF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15.Иная информация, предусмотренная Уставом или иными внутренними документами</w:t>
            </w:r>
          </w:p>
        </w:tc>
        <w:tc>
          <w:tcPr>
            <w:tcW w:w="1666" w:type="dxa"/>
          </w:tcPr>
          <w:p w:rsidR="001A2E95" w:rsidRPr="00D160CF" w:rsidRDefault="001A2E95" w:rsidP="000D2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95" w:rsidRDefault="001A2E95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0D2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8B9" w:rsidRPr="000D28B9" w:rsidRDefault="000D28B9" w:rsidP="000D28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F825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F825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F825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2B6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8B9" w:rsidRDefault="000D28B9" w:rsidP="00F825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047F" w:rsidRDefault="00CB523B" w:rsidP="000D28B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163A4C">
        <w:rPr>
          <w:rFonts w:ascii="Times New Roman" w:hAnsi="Times New Roman" w:cs="Times New Roman"/>
          <w:sz w:val="28"/>
          <w:szCs w:val="28"/>
        </w:rPr>
        <w:t>бщества в отрасли.</w:t>
      </w:r>
    </w:p>
    <w:p w:rsidR="00163A4C" w:rsidRDefault="00CB523B" w:rsidP="00163A4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об О</w:t>
      </w:r>
      <w:r w:rsidR="00163A4C">
        <w:rPr>
          <w:rFonts w:ascii="Times New Roman" w:hAnsi="Times New Roman" w:cs="Times New Roman"/>
          <w:sz w:val="28"/>
          <w:szCs w:val="28"/>
        </w:rPr>
        <w:t>бществе</w:t>
      </w:r>
    </w:p>
    <w:p w:rsidR="00163A4C" w:rsidRDefault="00163A4C" w:rsidP="00163A4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фирменное наименование – Акционерное общество «Проектный институт «Агропроект».</w:t>
      </w: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фирменное наименование – АО «ПИ Агропроект»</w:t>
      </w:r>
    </w:p>
    <w:p w:rsidR="00163A4C" w:rsidRPr="00CB523B" w:rsidRDefault="00163A4C" w:rsidP="00CB523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Место нахождения общества – 424004 РМЭ, г. Йошкар-Ола, ул. Комсомольская, д. 125</w:t>
      </w:r>
      <w:r w:rsidR="00CB5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2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23B">
        <w:rPr>
          <w:rFonts w:ascii="Times New Roman" w:hAnsi="Times New Roman" w:cs="Times New Roman"/>
          <w:sz w:val="24"/>
          <w:szCs w:val="24"/>
        </w:rPr>
        <w:t>. 207.</w:t>
      </w: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- 424004 РМЭ, г. Йошкар-Ола, ул. Комсомольская, д. 125</w:t>
      </w:r>
    </w:p>
    <w:p w:rsidR="00CB523B" w:rsidRPr="00CB523B" w:rsidRDefault="00CB523B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B523B">
        <w:rPr>
          <w:rFonts w:ascii="Times New Roman" w:hAnsi="Times New Roman" w:cs="Times New Roman"/>
          <w:sz w:val="24"/>
          <w:szCs w:val="24"/>
        </w:rPr>
        <w:t xml:space="preserve"> № 64-14-39, </w:t>
      </w:r>
      <w:proofErr w:type="gramStart"/>
      <w:r w:rsidRPr="00CB523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523B">
        <w:rPr>
          <w:rFonts w:ascii="Times New Roman" w:hAnsi="Times New Roman" w:cs="Times New Roman"/>
          <w:sz w:val="24"/>
          <w:szCs w:val="24"/>
        </w:rPr>
        <w:t>-</w:t>
      </w:r>
      <w:r w:rsidRPr="00CB5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52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523B">
        <w:rPr>
          <w:rFonts w:ascii="Times New Roman" w:hAnsi="Times New Roman" w:cs="Times New Roman"/>
          <w:sz w:val="24"/>
          <w:szCs w:val="24"/>
          <w:lang w:val="en-US"/>
        </w:rPr>
        <w:t>mariagroproekt</w:t>
      </w:r>
      <w:proofErr w:type="spellEnd"/>
      <w:r w:rsidRPr="00CB52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B52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B523B">
        <w:rPr>
          <w:rFonts w:ascii="Times New Roman" w:hAnsi="Times New Roman" w:cs="Times New Roman"/>
          <w:sz w:val="24"/>
          <w:szCs w:val="24"/>
        </w:rPr>
        <w:t>.</w:t>
      </w:r>
      <w:r w:rsidRPr="00CB523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Уставной капитал общества составляет 1552 рубля и состоит их 1164 акций обыкновенных именных и 388 акций привилегированных именных номинальной стоимостью 1 рубль.</w:t>
      </w:r>
    </w:p>
    <w:p w:rsidR="00CB523B" w:rsidRDefault="00CB523B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Держателем реестра акционеров Общества является специализированный регистратор: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Реестр-РН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7705397301, КПП 212802001, адрес 428000 Республика Чувашия,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Чебоксары, ул. Ярославская, д. 17, корп. 7, тел. (8352) 58-60-96, факс (8352) 58-62-65.</w:t>
      </w:r>
    </w:p>
    <w:p w:rsidR="00CB523B" w:rsidRPr="002034A9" w:rsidRDefault="00CB523B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раскрытие информации Общества осуществляется на странице в сети интернет, предоставленной уполномоченным инфо</w:t>
      </w:r>
      <w:r w:rsidR="002034A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(ЗАО «Интерфакс»)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</w:t>
      </w:r>
      <w:r w:rsidRPr="00CB52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5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523B">
        <w:rPr>
          <w:rFonts w:ascii="Times New Roman" w:hAnsi="Times New Roman" w:cs="Times New Roman"/>
          <w:sz w:val="24"/>
          <w:szCs w:val="24"/>
        </w:rPr>
        <w:t>-</w:t>
      </w:r>
      <w:r w:rsidR="002034A9"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="002034A9" w:rsidRPr="002034A9">
        <w:rPr>
          <w:rFonts w:ascii="Times New Roman" w:hAnsi="Times New Roman" w:cs="Times New Roman"/>
          <w:sz w:val="24"/>
          <w:szCs w:val="24"/>
        </w:rPr>
        <w:t>.</w:t>
      </w:r>
      <w:r w:rsidR="002034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034A9" w:rsidRPr="002034A9">
        <w:rPr>
          <w:rFonts w:ascii="Times New Roman" w:hAnsi="Times New Roman" w:cs="Times New Roman"/>
          <w:sz w:val="24"/>
          <w:szCs w:val="24"/>
        </w:rPr>
        <w:t>.</w:t>
      </w:r>
    </w:p>
    <w:p w:rsidR="002034A9" w:rsidRDefault="002034A9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видом деятельности Акционерного общества</w:t>
      </w:r>
      <w:r w:rsidR="00163A4C">
        <w:rPr>
          <w:rFonts w:ascii="Times New Roman" w:hAnsi="Times New Roman" w:cs="Times New Roman"/>
          <w:sz w:val="24"/>
          <w:szCs w:val="24"/>
        </w:rPr>
        <w:t xml:space="preserve"> «Проектный институт «Агропроект» является </w:t>
      </w:r>
      <w:r>
        <w:rPr>
          <w:rFonts w:ascii="Times New Roman" w:hAnsi="Times New Roman" w:cs="Times New Roman"/>
          <w:sz w:val="24"/>
          <w:szCs w:val="24"/>
        </w:rPr>
        <w:t>деятельность в области архитектуры, связанная со зданиями и сооружениями (основной код ОКВД 71.11</w:t>
      </w:r>
      <w:r w:rsidR="00163A4C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осуществляет свою деятельность на территории Республики Марий Эл.</w:t>
      </w:r>
    </w:p>
    <w:p w:rsidR="00163A4C" w:rsidRDefault="00163A4C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занимает одно из ведущих мест по проектированию и производству инженерных изысканий на данной территории. За период своей профессиональной деятельности предприятие зарекомендовало себя как профессиональную, конкурентоспособную, выполняющую качественную проектную продук</w:t>
      </w:r>
      <w:r w:rsidR="002034A9">
        <w:rPr>
          <w:rFonts w:ascii="Times New Roman" w:hAnsi="Times New Roman" w:cs="Times New Roman"/>
          <w:sz w:val="24"/>
          <w:szCs w:val="24"/>
        </w:rPr>
        <w:t>цию. Основными преимуществами Акционерного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«Проектный институт «Агропроект»  перед конкурентами являются:</w:t>
      </w:r>
    </w:p>
    <w:p w:rsidR="00163A4C" w:rsidRDefault="00163A4C" w:rsidP="002B6B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каждому заказчику</w:t>
      </w:r>
    </w:p>
    <w:p w:rsidR="00163A4C" w:rsidRDefault="00163A4C" w:rsidP="0016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сроки выполнения работ</w:t>
      </w:r>
    </w:p>
    <w:p w:rsidR="00163A4C" w:rsidRDefault="00163A4C" w:rsidP="0016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проектных работ</w:t>
      </w:r>
    </w:p>
    <w:p w:rsidR="00CB0A65" w:rsidRDefault="00CB0A65" w:rsidP="00CB0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A65" w:rsidRPr="00CB0A65" w:rsidRDefault="00CB0A65" w:rsidP="000D28B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деятельности</w:t>
      </w:r>
    </w:p>
    <w:p w:rsidR="00CB0A65" w:rsidRDefault="00AA2C6E" w:rsidP="00CB0A6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0A65">
        <w:rPr>
          <w:rFonts w:ascii="Times New Roman" w:hAnsi="Times New Roman" w:cs="Times New Roman"/>
          <w:sz w:val="28"/>
          <w:szCs w:val="28"/>
        </w:rPr>
        <w:t>бщества</w:t>
      </w:r>
    </w:p>
    <w:p w:rsidR="00CB0A65" w:rsidRDefault="00CB0A65" w:rsidP="00CB0A6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B0A65" w:rsidRPr="0082378F" w:rsidRDefault="00C64270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CB0A65" w:rsidRPr="0082378F">
        <w:rPr>
          <w:rFonts w:ascii="Times New Roman" w:hAnsi="Times New Roman" w:cs="Times New Roman"/>
          <w:sz w:val="24"/>
          <w:szCs w:val="24"/>
        </w:rPr>
        <w:t xml:space="preserve"> году приоритетн</w:t>
      </w:r>
      <w:r w:rsidR="00AA2C6E">
        <w:rPr>
          <w:rFonts w:ascii="Times New Roman" w:hAnsi="Times New Roman" w:cs="Times New Roman"/>
          <w:sz w:val="24"/>
          <w:szCs w:val="24"/>
        </w:rPr>
        <w:t>ыми направлениями деятельности О</w:t>
      </w:r>
      <w:r w:rsidR="00CB0A65" w:rsidRPr="0082378F">
        <w:rPr>
          <w:rFonts w:ascii="Times New Roman" w:hAnsi="Times New Roman" w:cs="Times New Roman"/>
          <w:sz w:val="24"/>
          <w:szCs w:val="24"/>
        </w:rPr>
        <w:t>бщества были: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>- выполнение проектно-сметных работ по договорам подряда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>- производство инженерно-строительных изысканий по договорам подряда.</w:t>
      </w:r>
    </w:p>
    <w:p w:rsidR="00CB0A65" w:rsidRPr="0082378F" w:rsidRDefault="00CB0A65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>Наиболее крупными объектами,</w:t>
      </w:r>
      <w:r w:rsidR="00C64270">
        <w:rPr>
          <w:rFonts w:ascii="Times New Roman" w:hAnsi="Times New Roman" w:cs="Times New Roman"/>
          <w:sz w:val="24"/>
          <w:szCs w:val="24"/>
        </w:rPr>
        <w:t xml:space="preserve"> разработанными обществом в 2017</w:t>
      </w:r>
      <w:r w:rsidRPr="0082378F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 xml:space="preserve">- - разработка генплана МО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Быковское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района РМЭ;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>- свиноферма на 1250 свиноматок с полным циклом в районе д. Овечкино Оршанского района РМЭ;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 xml:space="preserve">- водозабор с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существующих сетей водопровода в п. Приволжский Волжского района РМЭ;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 xml:space="preserve">- начальная школа на 40 учащихся с детсадом на 20 мест в д.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Кукмарь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Советского района РМЭ;</w:t>
      </w:r>
    </w:p>
    <w:p w:rsidR="00CB0A65" w:rsidRPr="0082378F" w:rsidRDefault="00CB0A65" w:rsidP="00CB0A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lastRenderedPageBreak/>
        <w:t xml:space="preserve">- жилые дома в микрорайоне «Сосны» ПГТ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Руэм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8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82378F">
        <w:rPr>
          <w:rFonts w:ascii="Times New Roman" w:hAnsi="Times New Roman" w:cs="Times New Roman"/>
          <w:sz w:val="24"/>
          <w:szCs w:val="24"/>
        </w:rPr>
        <w:t xml:space="preserve"> района РМЭ и другие.</w:t>
      </w:r>
    </w:p>
    <w:p w:rsidR="00CB0A65" w:rsidRPr="0082378F" w:rsidRDefault="00AA2C6E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заказчиками О</w:t>
      </w:r>
      <w:r w:rsidR="00CB0A65" w:rsidRPr="0082378F">
        <w:rPr>
          <w:rFonts w:ascii="Times New Roman" w:hAnsi="Times New Roman" w:cs="Times New Roman"/>
          <w:sz w:val="24"/>
          <w:szCs w:val="24"/>
        </w:rPr>
        <w:t>бщества были ЗАО «</w:t>
      </w:r>
      <w:proofErr w:type="spellStart"/>
      <w:r w:rsidR="00CB0A65" w:rsidRPr="0082378F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="00CB0A65" w:rsidRPr="008237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0A65" w:rsidRPr="0082378F">
        <w:rPr>
          <w:rFonts w:ascii="Times New Roman" w:hAnsi="Times New Roman" w:cs="Times New Roman"/>
          <w:sz w:val="24"/>
          <w:szCs w:val="24"/>
        </w:rPr>
        <w:t>Шойбулакский</w:t>
      </w:r>
      <w:proofErr w:type="spellEnd"/>
      <w:r w:rsidR="00CB0A65" w:rsidRPr="0082378F">
        <w:rPr>
          <w:rFonts w:ascii="Times New Roman" w:hAnsi="Times New Roman" w:cs="Times New Roman"/>
          <w:sz w:val="24"/>
          <w:szCs w:val="24"/>
        </w:rPr>
        <w:t>», ООО ПСБ по проектированию объектов дорожно</w:t>
      </w:r>
      <w:r w:rsidR="002034A9">
        <w:rPr>
          <w:rFonts w:ascii="Times New Roman" w:hAnsi="Times New Roman" w:cs="Times New Roman"/>
          <w:sz w:val="24"/>
          <w:szCs w:val="24"/>
        </w:rPr>
        <w:t>го хозяйства, ООО «</w:t>
      </w:r>
      <w:proofErr w:type="spellStart"/>
      <w:r w:rsidR="002034A9">
        <w:rPr>
          <w:rFonts w:ascii="Times New Roman" w:hAnsi="Times New Roman" w:cs="Times New Roman"/>
          <w:sz w:val="24"/>
          <w:szCs w:val="24"/>
        </w:rPr>
        <w:t>Дорпроект</w:t>
      </w:r>
      <w:proofErr w:type="spellEnd"/>
      <w:r w:rsidR="002034A9">
        <w:rPr>
          <w:rFonts w:ascii="Times New Roman" w:hAnsi="Times New Roman" w:cs="Times New Roman"/>
          <w:sz w:val="24"/>
          <w:szCs w:val="24"/>
        </w:rPr>
        <w:t>», А</w:t>
      </w:r>
      <w:r w:rsidR="00CB0A65" w:rsidRPr="0082378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034A9">
        <w:rPr>
          <w:rFonts w:ascii="Times New Roman" w:hAnsi="Times New Roman" w:cs="Times New Roman"/>
          <w:sz w:val="24"/>
          <w:szCs w:val="24"/>
        </w:rPr>
        <w:t>МО «Городской округ</w:t>
      </w:r>
      <w:r w:rsidR="00CB0A65" w:rsidRPr="0082378F">
        <w:rPr>
          <w:rFonts w:ascii="Times New Roman" w:hAnsi="Times New Roman" w:cs="Times New Roman"/>
          <w:sz w:val="24"/>
          <w:szCs w:val="24"/>
        </w:rPr>
        <w:t xml:space="preserve"> г. Волжск</w:t>
      </w:r>
      <w:r w:rsidR="002034A9">
        <w:rPr>
          <w:rFonts w:ascii="Times New Roman" w:hAnsi="Times New Roman" w:cs="Times New Roman"/>
          <w:sz w:val="24"/>
          <w:szCs w:val="24"/>
        </w:rPr>
        <w:t>»</w:t>
      </w:r>
      <w:r w:rsidR="00CB0A65" w:rsidRPr="0082378F">
        <w:rPr>
          <w:rFonts w:ascii="Times New Roman" w:hAnsi="Times New Roman" w:cs="Times New Roman"/>
          <w:sz w:val="24"/>
          <w:szCs w:val="24"/>
        </w:rPr>
        <w:t>, ОАО «УМС», ООО «УМС» и другие.</w:t>
      </w:r>
    </w:p>
    <w:p w:rsidR="0082378F" w:rsidRDefault="00CB0A65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378F">
        <w:rPr>
          <w:rFonts w:ascii="Times New Roman" w:hAnsi="Times New Roman" w:cs="Times New Roman"/>
          <w:sz w:val="24"/>
          <w:szCs w:val="24"/>
        </w:rPr>
        <w:t>Конкурентами по основному виду деятельности общества являлись проектные организации РМЭ и других регионов.</w:t>
      </w:r>
    </w:p>
    <w:p w:rsidR="00975527" w:rsidRDefault="00975527" w:rsidP="00975527">
      <w:pPr>
        <w:pStyle w:val="3"/>
        <w:spacing w:line="360" w:lineRule="auto"/>
      </w:pPr>
    </w:p>
    <w:p w:rsidR="00393B9A" w:rsidRPr="00F15A72" w:rsidRDefault="00393B9A" w:rsidP="00975527">
      <w:pPr>
        <w:pStyle w:val="3"/>
        <w:spacing w:line="360" w:lineRule="auto"/>
      </w:pPr>
    </w:p>
    <w:p w:rsidR="00975527" w:rsidRPr="001903B2" w:rsidRDefault="00975527" w:rsidP="001903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03B2">
        <w:rPr>
          <w:rFonts w:ascii="Times New Roman" w:hAnsi="Times New Roman" w:cs="Times New Roman"/>
          <w:sz w:val="28"/>
          <w:szCs w:val="28"/>
        </w:rPr>
        <w:t>Отчет Совета директоров (наблюдательного Совета) Общества о результатах развития Общества по приоритетным направлениям его деятельности</w:t>
      </w:r>
    </w:p>
    <w:p w:rsidR="00975527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B9A" w:rsidRPr="001903B2" w:rsidRDefault="00393B9A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           Основными видами деятельности Общества в 201</w:t>
      </w:r>
      <w:r w:rsidR="00790CAC">
        <w:rPr>
          <w:rFonts w:ascii="Times New Roman" w:hAnsi="Times New Roman" w:cs="Times New Roman"/>
          <w:sz w:val="24"/>
          <w:szCs w:val="24"/>
        </w:rPr>
        <w:t>7</w:t>
      </w:r>
      <w:r w:rsidRPr="001903B2">
        <w:rPr>
          <w:rFonts w:ascii="Times New Roman" w:hAnsi="Times New Roman" w:cs="Times New Roman"/>
          <w:sz w:val="24"/>
          <w:szCs w:val="24"/>
        </w:rPr>
        <w:t xml:space="preserve"> году (по ОКВЭД ОК 029-2014 КДЕС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03B2">
        <w:rPr>
          <w:rFonts w:ascii="Times New Roman" w:hAnsi="Times New Roman" w:cs="Times New Roman"/>
          <w:sz w:val="24"/>
          <w:szCs w:val="24"/>
        </w:rPr>
        <w:t>ед.2) являются: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- Деятельность в области архитектуры, связанная с созданием архитектурного объекта (ОКВЭД 71.11.1);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–  Аренда и управление собственным или арендованным нежилым недвижимым имуществом (далее аренда помещений) (ОКВЭД 68.20.2). 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За 201</w:t>
      </w:r>
      <w:r w:rsidR="00790CAC">
        <w:rPr>
          <w:rFonts w:ascii="Times New Roman" w:hAnsi="Times New Roman" w:cs="Times New Roman"/>
          <w:sz w:val="24"/>
          <w:szCs w:val="24"/>
        </w:rPr>
        <w:t>7</w:t>
      </w:r>
      <w:r w:rsidRPr="001903B2">
        <w:rPr>
          <w:rFonts w:ascii="Times New Roman" w:hAnsi="Times New Roman" w:cs="Times New Roman"/>
          <w:sz w:val="24"/>
          <w:szCs w:val="24"/>
        </w:rPr>
        <w:t xml:space="preserve"> год было получено доходов всего на сумму </w:t>
      </w:r>
      <w:r w:rsidR="00A718EF">
        <w:rPr>
          <w:rFonts w:ascii="Times New Roman" w:hAnsi="Times New Roman" w:cs="Times New Roman"/>
          <w:sz w:val="24"/>
          <w:szCs w:val="24"/>
        </w:rPr>
        <w:t>24711</w:t>
      </w:r>
      <w:r w:rsidRPr="001903B2">
        <w:rPr>
          <w:rFonts w:ascii="Times New Roman" w:hAnsi="Times New Roman" w:cs="Times New Roman"/>
          <w:sz w:val="24"/>
          <w:szCs w:val="24"/>
        </w:rPr>
        <w:t>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>.,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в т.ч. от основной деятельности  </w:t>
      </w:r>
      <w:r w:rsidR="00A718EF">
        <w:rPr>
          <w:rFonts w:ascii="Times New Roman" w:hAnsi="Times New Roman" w:cs="Times New Roman"/>
          <w:sz w:val="24"/>
          <w:szCs w:val="24"/>
        </w:rPr>
        <w:t>17964</w:t>
      </w:r>
      <w:r w:rsidRPr="001903B2">
        <w:rPr>
          <w:rFonts w:ascii="Times New Roman" w:hAnsi="Times New Roman" w:cs="Times New Roman"/>
          <w:sz w:val="24"/>
          <w:szCs w:val="24"/>
        </w:rPr>
        <w:t xml:space="preserve"> 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- от проектно-изыскательских работ –  </w:t>
      </w:r>
      <w:r w:rsidR="00A718EF">
        <w:rPr>
          <w:rFonts w:ascii="Times New Roman" w:hAnsi="Times New Roman" w:cs="Times New Roman"/>
          <w:sz w:val="24"/>
          <w:szCs w:val="24"/>
        </w:rPr>
        <w:t>7014</w:t>
      </w:r>
      <w:r w:rsidRPr="001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B2">
        <w:rPr>
          <w:rFonts w:ascii="Times New Roman" w:hAnsi="Times New Roman" w:cs="Times New Roman"/>
          <w:sz w:val="24"/>
          <w:szCs w:val="24"/>
        </w:rPr>
        <w:t>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903B2">
        <w:rPr>
          <w:rFonts w:ascii="Times New Roman" w:hAnsi="Times New Roman" w:cs="Times New Roman"/>
          <w:sz w:val="24"/>
          <w:szCs w:val="24"/>
        </w:rPr>
        <w:t>;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- от сдачи в аренду собственных нежилых помещений  –  </w:t>
      </w:r>
      <w:r w:rsidR="00A718EF">
        <w:rPr>
          <w:rFonts w:ascii="Times New Roman" w:hAnsi="Times New Roman" w:cs="Times New Roman"/>
          <w:sz w:val="24"/>
          <w:szCs w:val="24"/>
        </w:rPr>
        <w:t>10950</w:t>
      </w:r>
      <w:r w:rsidRPr="001903B2">
        <w:rPr>
          <w:rFonts w:ascii="Times New Roman" w:hAnsi="Times New Roman" w:cs="Times New Roman"/>
          <w:sz w:val="24"/>
          <w:szCs w:val="24"/>
        </w:rPr>
        <w:t>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>;</w:t>
      </w:r>
    </w:p>
    <w:p w:rsidR="00975527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- прочие  доходы    </w:t>
      </w:r>
      <w:r w:rsidR="00A718EF">
        <w:rPr>
          <w:rFonts w:ascii="Times New Roman" w:hAnsi="Times New Roman" w:cs="Times New Roman"/>
          <w:sz w:val="24"/>
          <w:szCs w:val="24"/>
        </w:rPr>
        <w:t>6747</w:t>
      </w:r>
      <w:r w:rsidRPr="001903B2">
        <w:rPr>
          <w:rFonts w:ascii="Times New Roman" w:hAnsi="Times New Roman" w:cs="Times New Roman"/>
          <w:sz w:val="24"/>
          <w:szCs w:val="24"/>
        </w:rPr>
        <w:t xml:space="preserve"> 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2C6E" w:rsidRDefault="00AA2C6E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718EF">
        <w:rPr>
          <w:rFonts w:ascii="Times New Roman" w:hAnsi="Times New Roman" w:cs="Times New Roman"/>
          <w:sz w:val="24"/>
          <w:szCs w:val="24"/>
        </w:rPr>
        <w:t>9541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A2C6E" w:rsidRPr="001903B2" w:rsidRDefault="00AA2C6E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A718EF"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По итогам 201</w:t>
      </w:r>
      <w:r w:rsidR="00A718EF">
        <w:rPr>
          <w:rFonts w:ascii="Times New Roman" w:hAnsi="Times New Roman" w:cs="Times New Roman"/>
          <w:sz w:val="24"/>
          <w:szCs w:val="24"/>
        </w:rPr>
        <w:t>7</w:t>
      </w:r>
      <w:r w:rsidRPr="001903B2">
        <w:rPr>
          <w:rFonts w:ascii="Times New Roman" w:hAnsi="Times New Roman" w:cs="Times New Roman"/>
          <w:sz w:val="24"/>
          <w:szCs w:val="24"/>
        </w:rPr>
        <w:t xml:space="preserve"> года фактическая себестоимость  проектно-изыскательских работ  составила </w:t>
      </w:r>
      <w:r w:rsidR="00A718EF">
        <w:rPr>
          <w:rFonts w:ascii="Times New Roman" w:hAnsi="Times New Roman" w:cs="Times New Roman"/>
          <w:sz w:val="24"/>
          <w:szCs w:val="24"/>
        </w:rPr>
        <w:t>8785</w:t>
      </w:r>
      <w:r w:rsidRPr="001903B2">
        <w:rPr>
          <w:rFonts w:ascii="Times New Roman" w:hAnsi="Times New Roman" w:cs="Times New Roman"/>
          <w:sz w:val="24"/>
          <w:szCs w:val="24"/>
        </w:rPr>
        <w:t xml:space="preserve"> 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90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 xml:space="preserve">., сданных в аренду помещений – </w:t>
      </w:r>
      <w:r w:rsidR="00A718EF">
        <w:rPr>
          <w:rFonts w:ascii="Times New Roman" w:hAnsi="Times New Roman" w:cs="Times New Roman"/>
          <w:sz w:val="24"/>
          <w:szCs w:val="24"/>
        </w:rPr>
        <w:t>10218</w:t>
      </w:r>
      <w:r w:rsidRPr="001903B2">
        <w:rPr>
          <w:rFonts w:ascii="Times New Roman" w:hAnsi="Times New Roman" w:cs="Times New Roman"/>
          <w:sz w:val="24"/>
          <w:szCs w:val="24"/>
        </w:rPr>
        <w:t xml:space="preserve"> 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r w:rsidRPr="001903B2">
        <w:rPr>
          <w:rFonts w:ascii="Times New Roman" w:hAnsi="Times New Roman" w:cs="Times New Roman"/>
          <w:sz w:val="24"/>
          <w:szCs w:val="24"/>
        </w:rPr>
        <w:t>.р</w:t>
      </w:r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 xml:space="preserve">., прочие расходы </w:t>
      </w:r>
      <w:r w:rsidR="00A718EF">
        <w:rPr>
          <w:rFonts w:ascii="Times New Roman" w:hAnsi="Times New Roman" w:cs="Times New Roman"/>
          <w:sz w:val="24"/>
          <w:szCs w:val="24"/>
        </w:rPr>
        <w:t>194</w:t>
      </w:r>
      <w:r w:rsidRPr="001903B2">
        <w:rPr>
          <w:rFonts w:ascii="Times New Roman" w:hAnsi="Times New Roman" w:cs="Times New Roman"/>
          <w:sz w:val="24"/>
          <w:szCs w:val="24"/>
        </w:rPr>
        <w:t xml:space="preserve"> т</w:t>
      </w:r>
      <w:r w:rsidR="00AA2C6E">
        <w:rPr>
          <w:rFonts w:ascii="Times New Roman" w:hAnsi="Times New Roman" w:cs="Times New Roman"/>
          <w:sz w:val="24"/>
          <w:szCs w:val="24"/>
        </w:rPr>
        <w:t>ыс</w:t>
      </w:r>
      <w:r w:rsidRPr="001903B2">
        <w:rPr>
          <w:rFonts w:ascii="Times New Roman" w:hAnsi="Times New Roman" w:cs="Times New Roman"/>
          <w:sz w:val="24"/>
          <w:szCs w:val="24"/>
        </w:rPr>
        <w:t>.р</w:t>
      </w:r>
      <w:r w:rsidR="00AA2C6E">
        <w:rPr>
          <w:rFonts w:ascii="Times New Roman" w:hAnsi="Times New Roman" w:cs="Times New Roman"/>
          <w:sz w:val="24"/>
          <w:szCs w:val="24"/>
        </w:rPr>
        <w:t>уб</w:t>
      </w:r>
      <w:r w:rsidRPr="001903B2">
        <w:rPr>
          <w:rFonts w:ascii="Times New Roman" w:hAnsi="Times New Roman" w:cs="Times New Roman"/>
          <w:sz w:val="24"/>
          <w:szCs w:val="24"/>
        </w:rPr>
        <w:t>.</w:t>
      </w:r>
    </w:p>
    <w:p w:rsidR="00975527" w:rsidRPr="001903B2" w:rsidRDefault="00975527" w:rsidP="00190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27" w:rsidRPr="00F15A72" w:rsidRDefault="00975527" w:rsidP="001903B2">
      <w:pPr>
        <w:pStyle w:val="3"/>
        <w:rPr>
          <w:szCs w:val="24"/>
        </w:rPr>
      </w:pPr>
      <w:r w:rsidRPr="00724A26">
        <w:rPr>
          <w:szCs w:val="24"/>
        </w:rPr>
        <w:t>Балансовая прибыль по итогам 201</w:t>
      </w:r>
      <w:r w:rsidR="00A718EF">
        <w:rPr>
          <w:szCs w:val="24"/>
        </w:rPr>
        <w:t>7</w:t>
      </w:r>
      <w:r w:rsidRPr="00724A26">
        <w:rPr>
          <w:szCs w:val="24"/>
        </w:rPr>
        <w:t xml:space="preserve">года составила </w:t>
      </w:r>
      <w:r w:rsidR="00A718EF">
        <w:rPr>
          <w:szCs w:val="24"/>
        </w:rPr>
        <w:t>5514</w:t>
      </w:r>
      <w:r w:rsidRPr="00724A26">
        <w:rPr>
          <w:szCs w:val="24"/>
        </w:rPr>
        <w:t xml:space="preserve"> т</w:t>
      </w:r>
      <w:r w:rsidR="00AA2C6E">
        <w:rPr>
          <w:szCs w:val="24"/>
        </w:rPr>
        <w:t>ыс</w:t>
      </w:r>
      <w:proofErr w:type="gramStart"/>
      <w:r w:rsidR="00AA2C6E">
        <w:rPr>
          <w:szCs w:val="24"/>
        </w:rPr>
        <w:t>.р</w:t>
      </w:r>
      <w:proofErr w:type="gramEnd"/>
      <w:r w:rsidR="00AA2C6E">
        <w:rPr>
          <w:szCs w:val="24"/>
        </w:rPr>
        <w:t>уб</w:t>
      </w:r>
      <w:r w:rsidRPr="00724A26">
        <w:rPr>
          <w:szCs w:val="24"/>
        </w:rPr>
        <w:t>., в т.ч</w:t>
      </w:r>
      <w:r w:rsidRPr="00F15A72">
        <w:rPr>
          <w:szCs w:val="24"/>
        </w:rPr>
        <w:t xml:space="preserve">.: </w:t>
      </w:r>
    </w:p>
    <w:p w:rsidR="00975527" w:rsidRPr="00F15A72" w:rsidRDefault="00975527" w:rsidP="001903B2">
      <w:pPr>
        <w:pStyle w:val="3"/>
        <w:ind w:left="567"/>
        <w:rPr>
          <w:szCs w:val="24"/>
        </w:rPr>
      </w:pPr>
      <w:r w:rsidRPr="00F15A72">
        <w:rPr>
          <w:szCs w:val="24"/>
        </w:rPr>
        <w:t xml:space="preserve">- от проектно-изыскательских работ </w:t>
      </w:r>
      <w:r>
        <w:rPr>
          <w:szCs w:val="24"/>
        </w:rPr>
        <w:t xml:space="preserve">   </w:t>
      </w:r>
      <w:r w:rsidR="00A718EF">
        <w:rPr>
          <w:szCs w:val="24"/>
        </w:rPr>
        <w:t>(1771)</w:t>
      </w:r>
      <w:r>
        <w:rPr>
          <w:szCs w:val="24"/>
        </w:rPr>
        <w:t>т</w:t>
      </w:r>
      <w:r w:rsidR="00AA2C6E">
        <w:rPr>
          <w:szCs w:val="24"/>
        </w:rPr>
        <w:t>ыс</w:t>
      </w:r>
      <w:proofErr w:type="gramStart"/>
      <w:r>
        <w:rPr>
          <w:szCs w:val="24"/>
        </w:rPr>
        <w:t>.р</w:t>
      </w:r>
      <w:proofErr w:type="gramEnd"/>
      <w:r w:rsidR="00AA2C6E">
        <w:rPr>
          <w:szCs w:val="24"/>
        </w:rPr>
        <w:t>уб</w:t>
      </w:r>
      <w:r>
        <w:rPr>
          <w:szCs w:val="24"/>
        </w:rPr>
        <w:t>.</w:t>
      </w:r>
      <w:r w:rsidRPr="00F15A72">
        <w:rPr>
          <w:szCs w:val="24"/>
        </w:rPr>
        <w:t xml:space="preserve"> </w:t>
      </w:r>
    </w:p>
    <w:p w:rsidR="00975527" w:rsidRDefault="00975527" w:rsidP="001903B2">
      <w:pPr>
        <w:pStyle w:val="3"/>
        <w:ind w:left="567"/>
        <w:rPr>
          <w:szCs w:val="24"/>
        </w:rPr>
      </w:pPr>
      <w:r w:rsidRPr="00F15A72">
        <w:rPr>
          <w:szCs w:val="24"/>
        </w:rPr>
        <w:t xml:space="preserve">- от сдачи в аренду помещений </w:t>
      </w:r>
      <w:r>
        <w:rPr>
          <w:szCs w:val="24"/>
        </w:rPr>
        <w:t xml:space="preserve">            </w:t>
      </w:r>
      <w:r w:rsidR="00A718EF">
        <w:rPr>
          <w:szCs w:val="24"/>
        </w:rPr>
        <w:t>732</w:t>
      </w:r>
      <w:r>
        <w:rPr>
          <w:szCs w:val="24"/>
        </w:rPr>
        <w:t>т</w:t>
      </w:r>
      <w:r w:rsidR="00AA2C6E">
        <w:rPr>
          <w:szCs w:val="24"/>
        </w:rPr>
        <w:t>ыс</w:t>
      </w:r>
      <w:proofErr w:type="gramStart"/>
      <w:r>
        <w:rPr>
          <w:szCs w:val="24"/>
        </w:rPr>
        <w:t>.р</w:t>
      </w:r>
      <w:proofErr w:type="gramEnd"/>
      <w:r w:rsidR="00AA2C6E">
        <w:rPr>
          <w:szCs w:val="24"/>
        </w:rPr>
        <w:t>уб</w:t>
      </w:r>
      <w:r>
        <w:rPr>
          <w:szCs w:val="24"/>
        </w:rPr>
        <w:t>.</w:t>
      </w:r>
    </w:p>
    <w:p w:rsidR="00975527" w:rsidRPr="00F15A72" w:rsidRDefault="00975527" w:rsidP="001903B2">
      <w:pPr>
        <w:pStyle w:val="3"/>
        <w:ind w:left="567"/>
        <w:rPr>
          <w:szCs w:val="24"/>
        </w:rPr>
      </w:pPr>
      <w:r w:rsidRPr="00F15A72">
        <w:rPr>
          <w:szCs w:val="24"/>
        </w:rPr>
        <w:t xml:space="preserve">- от прочих (операционных) доходов – </w:t>
      </w:r>
      <w:r w:rsidR="00A718EF">
        <w:rPr>
          <w:szCs w:val="24"/>
        </w:rPr>
        <w:t>6553</w:t>
      </w:r>
      <w:r>
        <w:rPr>
          <w:szCs w:val="24"/>
        </w:rPr>
        <w:t>т</w:t>
      </w:r>
      <w:r w:rsidR="00AA2C6E">
        <w:rPr>
          <w:szCs w:val="24"/>
        </w:rPr>
        <w:t>ыс</w:t>
      </w:r>
      <w:proofErr w:type="gramStart"/>
      <w:r>
        <w:rPr>
          <w:szCs w:val="24"/>
        </w:rPr>
        <w:t>.р</w:t>
      </w:r>
      <w:proofErr w:type="gramEnd"/>
      <w:r w:rsidR="00AA2C6E">
        <w:rPr>
          <w:szCs w:val="24"/>
        </w:rPr>
        <w:t>уб</w:t>
      </w:r>
      <w:r>
        <w:rPr>
          <w:szCs w:val="24"/>
        </w:rPr>
        <w:t>.</w:t>
      </w:r>
    </w:p>
    <w:p w:rsidR="00C02A8A" w:rsidRPr="00F15A72" w:rsidRDefault="00C02A8A" w:rsidP="001903B2">
      <w:pPr>
        <w:pStyle w:val="3"/>
        <w:ind w:left="567"/>
        <w:rPr>
          <w:szCs w:val="24"/>
        </w:rPr>
      </w:pPr>
      <w:r>
        <w:rPr>
          <w:szCs w:val="24"/>
        </w:rPr>
        <w:t>Налог с доходов УСН 799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B04416" w:rsidRDefault="00B04416" w:rsidP="008237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78F" w:rsidRDefault="0082378F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объеме каждого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акционерным обществом в отчетном году видов</w:t>
      </w:r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энергетических ресурсов (атомная энергия, тепловая энергия, </w:t>
      </w:r>
      <w:proofErr w:type="gramEnd"/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энергия, электромагнитная энергия, нефть,</w:t>
      </w:r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автомобильный, топливо дизельное, мазут топочный,</w:t>
      </w:r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естественный (природный), уголь, горючие сланцы,</w:t>
      </w:r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 и др.) в натуральном выражении и в денежном</w:t>
      </w:r>
    </w:p>
    <w:p w:rsid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78F" w:rsidRPr="0082378F" w:rsidRDefault="0082378F" w:rsidP="0082378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2977"/>
        <w:gridCol w:w="2800"/>
      </w:tblGrid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800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денежном выражении</w:t>
            </w:r>
          </w:p>
        </w:tc>
      </w:tr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977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4A9">
              <w:rPr>
                <w:rFonts w:ascii="Times New Roman" w:hAnsi="Times New Roman" w:cs="Times New Roman"/>
                <w:sz w:val="24"/>
                <w:szCs w:val="24"/>
              </w:rPr>
              <w:t>МГкал</w:t>
            </w:r>
            <w:proofErr w:type="spellEnd"/>
          </w:p>
        </w:tc>
        <w:tc>
          <w:tcPr>
            <w:tcW w:w="2800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1586496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977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  <w:tc>
          <w:tcPr>
            <w:tcW w:w="2800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1247025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2977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800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156771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2977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800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117927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A7EF5" w:rsidTr="008A7EF5">
        <w:tc>
          <w:tcPr>
            <w:tcW w:w="3074" w:type="dxa"/>
          </w:tcPr>
          <w:p w:rsidR="008A7EF5" w:rsidRDefault="008A7EF5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естественный (природный)</w:t>
            </w:r>
          </w:p>
        </w:tc>
        <w:tc>
          <w:tcPr>
            <w:tcW w:w="2977" w:type="dxa"/>
          </w:tcPr>
          <w:p w:rsidR="008A7EF5" w:rsidRPr="002034A9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0" w:type="dxa"/>
          </w:tcPr>
          <w:p w:rsidR="008A7EF5" w:rsidRDefault="00790CAC" w:rsidP="00CB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195047</w:t>
            </w:r>
            <w:r w:rsidR="002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2B6B1B" w:rsidRDefault="002034A9" w:rsidP="00B04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виды энергетических</w:t>
      </w:r>
      <w:r w:rsidR="00C64270">
        <w:rPr>
          <w:rFonts w:ascii="Times New Roman" w:hAnsi="Times New Roman" w:cs="Times New Roman"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таблице, в отчетном году не использовались.</w:t>
      </w:r>
    </w:p>
    <w:p w:rsidR="002B6B1B" w:rsidRPr="0082378F" w:rsidRDefault="002B6B1B" w:rsidP="002B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A65" w:rsidRDefault="008A7EF5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акционерного общества</w:t>
      </w:r>
    </w:p>
    <w:p w:rsidR="00293B3F" w:rsidRDefault="00293B3F" w:rsidP="00293B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B3F" w:rsidRDefault="00AA2C6E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О</w:t>
      </w:r>
      <w:r w:rsidR="00293B3F">
        <w:rPr>
          <w:rFonts w:ascii="Times New Roman" w:hAnsi="Times New Roman" w:cs="Times New Roman"/>
          <w:sz w:val="24"/>
          <w:szCs w:val="24"/>
        </w:rPr>
        <w:t>бщество планирует принять участие в реализации государственных программ:</w:t>
      </w:r>
    </w:p>
    <w:p w:rsidR="00293B3F" w:rsidRDefault="00293B3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программа развития сельского хозяйства и регулирования рынков сельскохозяйственной продукции, сырья и продовольствия на 2015-2020 г.г. (постановление Правительства РФ от 14 июля 2012 г. № 717);</w:t>
      </w:r>
    </w:p>
    <w:p w:rsidR="00293B3F" w:rsidRDefault="00293B3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целевая программа «Устойчивое развитие сельских территорий на 2014-2017 г.г. и на период до 2020 г. (постановление Правительства РФ от 15 июля 2013 г. №598);</w:t>
      </w:r>
    </w:p>
    <w:p w:rsidR="00293B3F" w:rsidRDefault="00293B3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D3563">
        <w:rPr>
          <w:rFonts w:ascii="Times New Roman" w:hAnsi="Times New Roman" w:cs="Times New Roman"/>
          <w:sz w:val="24"/>
          <w:szCs w:val="24"/>
        </w:rPr>
        <w:t xml:space="preserve"> программа переселения из ветхог</w:t>
      </w:r>
      <w:r>
        <w:rPr>
          <w:rFonts w:ascii="Times New Roman" w:hAnsi="Times New Roman" w:cs="Times New Roman"/>
          <w:sz w:val="24"/>
          <w:szCs w:val="24"/>
        </w:rPr>
        <w:t>о и аварийного жилья (регулируется Жилищным кодексом РФ, постановлением  Правительства РФ от 28 января 2016 г. № 47, ФЗ от 21 июля 2007 г. № 185_ФЗ «О фонде содействия реформированного ЖКХ» и другие.</w:t>
      </w:r>
      <w:proofErr w:type="gramEnd"/>
    </w:p>
    <w:p w:rsidR="00293B3F" w:rsidRDefault="00293B3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программы предусматривают строительство, реконструкцию, капитальный ремонт производственных, административных, жилых зданий, инженерной инфраструктуры, для чего потребуется выполнение проектно-изыскательских работ.</w:t>
      </w:r>
    </w:p>
    <w:p w:rsidR="00293B3F" w:rsidRDefault="00293B3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продолжит реализовываться программа «Жилье для Российской семьи». АО «ПИ Агропроект» будут выполняться проектно-сметные </w:t>
      </w:r>
      <w:r w:rsidR="0023302F">
        <w:rPr>
          <w:rFonts w:ascii="Times New Roman" w:hAnsi="Times New Roman" w:cs="Times New Roman"/>
          <w:sz w:val="24"/>
          <w:szCs w:val="24"/>
        </w:rPr>
        <w:t xml:space="preserve">и изыскательские работы совместно с заказчиком-застройщиком ООО «УМС» в микрорайоне «Сосны» п. </w:t>
      </w:r>
      <w:proofErr w:type="spellStart"/>
      <w:r w:rsidR="0023302F">
        <w:rPr>
          <w:rFonts w:ascii="Times New Roman" w:hAnsi="Times New Roman" w:cs="Times New Roman"/>
          <w:sz w:val="24"/>
          <w:szCs w:val="24"/>
        </w:rPr>
        <w:t>Руэм</w:t>
      </w:r>
      <w:proofErr w:type="spellEnd"/>
      <w:r w:rsidR="0023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02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23302F">
        <w:rPr>
          <w:rFonts w:ascii="Times New Roman" w:hAnsi="Times New Roman" w:cs="Times New Roman"/>
          <w:sz w:val="24"/>
          <w:szCs w:val="24"/>
        </w:rPr>
        <w:t xml:space="preserve"> района РМЭ 5-ти этажные жилые дома поз. 6, 7.</w:t>
      </w:r>
    </w:p>
    <w:p w:rsidR="0023302F" w:rsidRDefault="0023302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выполняться проектно-изыскательские работы по ул. Некрасова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Медведево для заказчика-застройщик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«УМС»</w:t>
      </w:r>
    </w:p>
    <w:p w:rsidR="0023302F" w:rsidRDefault="0023302F" w:rsidP="0029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02F" w:rsidRDefault="0023302F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(начисленных)</w:t>
      </w:r>
    </w:p>
    <w:p w:rsidR="0023302F" w:rsidRDefault="00AA2C6E" w:rsidP="0023302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дивидендов по акциям О</w:t>
      </w:r>
      <w:r w:rsidR="0023302F">
        <w:rPr>
          <w:rFonts w:ascii="Times New Roman" w:hAnsi="Times New Roman" w:cs="Times New Roman"/>
          <w:sz w:val="28"/>
          <w:szCs w:val="28"/>
        </w:rPr>
        <w:t>бщества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ED0" w:rsidRDefault="00C64270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2017</w:t>
      </w:r>
      <w:r w:rsidR="001B2ED0">
        <w:rPr>
          <w:rFonts w:ascii="Times New Roman" w:hAnsi="Times New Roman" w:cs="Times New Roman"/>
          <w:sz w:val="24"/>
          <w:szCs w:val="24"/>
        </w:rPr>
        <w:t xml:space="preserve"> года Совет директоров Общества рекомендует общему собранию акц</w:t>
      </w:r>
      <w:r>
        <w:rPr>
          <w:rFonts w:ascii="Times New Roman" w:hAnsi="Times New Roman" w:cs="Times New Roman"/>
          <w:sz w:val="24"/>
          <w:szCs w:val="24"/>
        </w:rPr>
        <w:t xml:space="preserve">ионеров дивиденды </w:t>
      </w:r>
      <w:r w:rsidR="001B2ED0">
        <w:rPr>
          <w:rFonts w:ascii="Times New Roman" w:hAnsi="Times New Roman" w:cs="Times New Roman"/>
          <w:sz w:val="24"/>
          <w:szCs w:val="24"/>
        </w:rPr>
        <w:t>не начислять и не выплачивать. Чистую прибыль направить на развитие Общества.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13A" w:rsidRDefault="00DA613A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02F" w:rsidRDefault="0023302F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факторов риска,</w:t>
      </w:r>
    </w:p>
    <w:p w:rsidR="0023302F" w:rsidRDefault="0023302F" w:rsidP="0023302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деятельностью акционерного общества</w:t>
      </w:r>
    </w:p>
    <w:p w:rsidR="0023302F" w:rsidRDefault="0023302F" w:rsidP="0023302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 риски.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подвержено неблагоприятным изменениям в строительной отрасли.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значимыми факторами, влияющими на деятельность эмитента в отрасли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спроса на объекты проектно-сметных и изыскательских работ;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цен на проектную продукцию;</w:t>
      </w:r>
    </w:p>
    <w:p w:rsidR="0023302F" w:rsidRP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конкуренция среди проектных организаций;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региональные риски.</w:t>
      </w:r>
    </w:p>
    <w:p w:rsidR="0023302F" w:rsidRDefault="0023302F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613A">
        <w:rPr>
          <w:rFonts w:ascii="Times New Roman" w:hAnsi="Times New Roman" w:cs="Times New Roman"/>
          <w:sz w:val="24"/>
          <w:szCs w:val="24"/>
        </w:rPr>
        <w:t>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«Проектный институт «Агропроект» является организацией зарегистрированной в Российской Федерации и осуществляющей основную деятельность в Приволжском округе Республики Марий Эл, поэтому сущест</w:t>
      </w:r>
      <w:r w:rsidR="00DA613A">
        <w:rPr>
          <w:rFonts w:ascii="Times New Roman" w:hAnsi="Times New Roman" w:cs="Times New Roman"/>
          <w:sz w:val="24"/>
          <w:szCs w:val="24"/>
        </w:rPr>
        <w:t>венное влияние на деятельность О</w:t>
      </w:r>
      <w:r>
        <w:rPr>
          <w:rFonts w:ascii="Times New Roman" w:hAnsi="Times New Roman" w:cs="Times New Roman"/>
          <w:sz w:val="24"/>
          <w:szCs w:val="24"/>
        </w:rPr>
        <w:t>бщества оказывают как общие изменения ситуации в государстве, так и развитие региона.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факторы развития региона (в случае их возникновения) могут отрицательным обр</w:t>
      </w:r>
      <w:r w:rsidR="00DA613A">
        <w:rPr>
          <w:rFonts w:ascii="Times New Roman" w:hAnsi="Times New Roman" w:cs="Times New Roman"/>
          <w:sz w:val="24"/>
          <w:szCs w:val="24"/>
        </w:rPr>
        <w:t>азом сказаться на деятельности О</w:t>
      </w:r>
      <w:r>
        <w:rPr>
          <w:rFonts w:ascii="Times New Roman" w:hAnsi="Times New Roman" w:cs="Times New Roman"/>
          <w:sz w:val="24"/>
          <w:szCs w:val="24"/>
        </w:rPr>
        <w:t>бщества: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существенное снижение регионального бюджета в ближайшей или среднесрочной перспективе;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уменьшение спроса на проектную продукцию на внутреннем ранке в результате снижения платежеспособного спроса у региональных потребителей.</w:t>
      </w:r>
      <w:proofErr w:type="gramEnd"/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риски: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роста внутреннего валового продукта (ВВП).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Процентный риск.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Процентный риск возникает по процентным финансовым инструментам. В настоящее время А</w:t>
      </w:r>
      <w:r w:rsidR="00DA613A">
        <w:rPr>
          <w:rFonts w:ascii="Times New Roman" w:hAnsi="Times New Roman" w:cs="Times New Roman"/>
          <w:sz w:val="24"/>
          <w:szCs w:val="24"/>
        </w:rPr>
        <w:t>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«Проектный институт «Агропроект» не использует кредитные средства в своей деятельности в качестве источника финансир</w:t>
      </w:r>
      <w:r w:rsidR="00DA613A">
        <w:rPr>
          <w:rFonts w:ascii="Times New Roman" w:hAnsi="Times New Roman" w:cs="Times New Roman"/>
          <w:sz w:val="24"/>
          <w:szCs w:val="24"/>
        </w:rPr>
        <w:t>ования, но он может косвенно повлиять на деятельность О</w:t>
      </w:r>
      <w:r>
        <w:rPr>
          <w:rFonts w:ascii="Times New Roman" w:hAnsi="Times New Roman" w:cs="Times New Roman"/>
          <w:sz w:val="24"/>
          <w:szCs w:val="24"/>
        </w:rPr>
        <w:t>бщества через заказчиков-застройщиков.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риски: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Риски, связанные с изменением налогового законодательства – риск неблагоприятных потерь в связи с изменением налоговой нагрузки на предприятие.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потери деловой репутации: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Риски, связанные с деятельностью эмитента.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Акционерным обществом эмиссионные ценные бумаги не приобретались.</w:t>
      </w:r>
    </w:p>
    <w:p w:rsidR="00293CC1" w:rsidRDefault="00293CC1" w:rsidP="00233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Default="00293CC1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крупных сделках, совершенных</w:t>
      </w:r>
    </w:p>
    <w:p w:rsidR="00293CC1" w:rsidRDefault="00DA613A" w:rsidP="00293CC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3CC1">
        <w:rPr>
          <w:rFonts w:ascii="Times New Roman" w:hAnsi="Times New Roman" w:cs="Times New Roman"/>
          <w:sz w:val="28"/>
          <w:szCs w:val="28"/>
        </w:rPr>
        <w:t>бществом в отчетном году.</w:t>
      </w:r>
    </w:p>
    <w:p w:rsidR="00293CC1" w:rsidRDefault="00293CC1" w:rsidP="00293CC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26852" w:rsidRDefault="00293CC1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852">
        <w:rPr>
          <w:rFonts w:ascii="Times New Roman" w:hAnsi="Times New Roman" w:cs="Times New Roman"/>
          <w:sz w:val="24"/>
          <w:szCs w:val="24"/>
        </w:rPr>
        <w:t>Сделки, признаваемые в соответствии с Федеральным законом «Об акционерных обществах» крупными сделками, а также иных сделок</w:t>
      </w:r>
      <w:r w:rsidR="00F26852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proofErr w:type="gramStart"/>
      <w:r w:rsidR="00F26852">
        <w:rPr>
          <w:rFonts w:ascii="Times New Roman" w:hAnsi="Times New Roman" w:cs="Times New Roman"/>
          <w:sz w:val="24"/>
          <w:szCs w:val="24"/>
        </w:rPr>
        <w:t>распространяется порядок одобрения крупных сде</w:t>
      </w:r>
      <w:r w:rsidR="00C64270">
        <w:rPr>
          <w:rFonts w:ascii="Times New Roman" w:hAnsi="Times New Roman" w:cs="Times New Roman"/>
          <w:sz w:val="24"/>
          <w:szCs w:val="24"/>
        </w:rPr>
        <w:t>лок акционерным обществом в 2017</w:t>
      </w:r>
      <w:r w:rsidR="00F26852">
        <w:rPr>
          <w:rFonts w:ascii="Times New Roman" w:hAnsi="Times New Roman" w:cs="Times New Roman"/>
          <w:sz w:val="24"/>
          <w:szCs w:val="24"/>
        </w:rPr>
        <w:t xml:space="preserve"> году не совершалось</w:t>
      </w:r>
      <w:proofErr w:type="gramEnd"/>
      <w:r w:rsidR="00F26852">
        <w:rPr>
          <w:rFonts w:ascii="Times New Roman" w:hAnsi="Times New Roman" w:cs="Times New Roman"/>
          <w:sz w:val="24"/>
          <w:szCs w:val="24"/>
        </w:rPr>
        <w:t>.</w:t>
      </w:r>
    </w:p>
    <w:p w:rsidR="00F26852" w:rsidRDefault="00F26852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CC1" w:rsidRPr="00F26852" w:rsidRDefault="00F26852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сделках с заинтересованностью,</w:t>
      </w:r>
    </w:p>
    <w:p w:rsidR="00F26852" w:rsidRDefault="00DA613A" w:rsidP="00F2685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26852">
        <w:rPr>
          <w:rFonts w:ascii="Times New Roman" w:hAnsi="Times New Roman" w:cs="Times New Roman"/>
          <w:sz w:val="28"/>
          <w:szCs w:val="28"/>
        </w:rPr>
        <w:t>бществом в отчетном году</w:t>
      </w:r>
    </w:p>
    <w:p w:rsidR="00F26852" w:rsidRDefault="00F26852" w:rsidP="00F2685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26852" w:rsidRDefault="00F26852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852">
        <w:rPr>
          <w:rFonts w:ascii="Times New Roman" w:hAnsi="Times New Roman" w:cs="Times New Roman"/>
          <w:sz w:val="24"/>
          <w:szCs w:val="24"/>
        </w:rPr>
        <w:t xml:space="preserve">Сделки, признаваемые в соответствии с Федеральным законом «Об акционерных обществах» </w:t>
      </w:r>
      <w:proofErr w:type="gramStart"/>
      <w:r w:rsidRPr="00F26852">
        <w:rPr>
          <w:rFonts w:ascii="Times New Roman" w:hAnsi="Times New Roman" w:cs="Times New Roman"/>
          <w:sz w:val="24"/>
          <w:szCs w:val="24"/>
        </w:rPr>
        <w:t>сделками</w:t>
      </w:r>
      <w:proofErr w:type="gramEnd"/>
      <w:r w:rsidRPr="00F26852">
        <w:rPr>
          <w:rFonts w:ascii="Times New Roman" w:hAnsi="Times New Roman" w:cs="Times New Roman"/>
          <w:sz w:val="24"/>
          <w:szCs w:val="24"/>
        </w:rPr>
        <w:t xml:space="preserve"> в совершении которых имелась заинтересованность, в 2016 году не заключались.</w:t>
      </w:r>
    </w:p>
    <w:p w:rsidR="00F26852" w:rsidRDefault="00F26852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852" w:rsidRDefault="00F26852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директоров</w:t>
      </w:r>
    </w:p>
    <w:p w:rsidR="00F26852" w:rsidRDefault="00F26852" w:rsidP="00F2685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F26852" w:rsidRDefault="00F26852" w:rsidP="00F2685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26852" w:rsidRDefault="00F26852" w:rsidP="00F26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директоров АО «</w:t>
      </w:r>
      <w:r w:rsidR="00DA613A"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>Агропроект»</w:t>
      </w:r>
    </w:p>
    <w:p w:rsidR="005D1390" w:rsidRDefault="005D1390" w:rsidP="00F268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6852" w:rsidRPr="00F26852" w:rsidTr="00F26852">
        <w:tc>
          <w:tcPr>
            <w:tcW w:w="4785" w:type="dxa"/>
          </w:tcPr>
          <w:p w:rsidR="00F26852" w:rsidRPr="00F26852" w:rsidRDefault="00F26852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26852" w:rsidRPr="00F26852" w:rsidRDefault="00F26852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Виктор Серафимович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«Проектный институт «Агропроект»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АХО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F26852" w:rsidRPr="00F26852" w:rsidRDefault="001B2ED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</w:tr>
      <w:tr w:rsidR="00F26852" w:rsidRPr="00F26852" w:rsidTr="00F26852">
        <w:tc>
          <w:tcPr>
            <w:tcW w:w="4785" w:type="dxa"/>
          </w:tcPr>
          <w:p w:rsidR="00F26852" w:rsidRPr="00F26852" w:rsidRDefault="005D139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F26852" w:rsidRPr="00F26852" w:rsidRDefault="001B2ED0" w:rsidP="00F26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</w:tr>
    </w:tbl>
    <w:p w:rsidR="005D1390" w:rsidRDefault="005D1390" w:rsidP="00F2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390" w:rsidRDefault="005D1390" w:rsidP="00F26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директоров АО «</w:t>
      </w:r>
      <w:r w:rsidR="00DA613A"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>Агропроект»</w:t>
      </w:r>
    </w:p>
    <w:p w:rsidR="00F26852" w:rsidRDefault="00F26852" w:rsidP="00F2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«Проектный институт «Агропроект»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p w:rsidR="005D1390" w:rsidRDefault="005D1390" w:rsidP="00F2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Аркадий Петрович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«Проектный институт «Агропроект»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5D1390" w:rsidRPr="00F26852" w:rsidRDefault="005D1390" w:rsidP="005D1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1B2ED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проектирования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</w:tbl>
    <w:p w:rsidR="00F26852" w:rsidRDefault="00F26852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390" w:rsidRDefault="005D1390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D1390" w:rsidRPr="00F26852" w:rsidRDefault="00976008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«Перекресток»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5D1390" w:rsidRPr="00F26852" w:rsidRDefault="00976008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33.63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29.77</w:t>
            </w:r>
          </w:p>
        </w:tc>
      </w:tr>
    </w:tbl>
    <w:p w:rsidR="005D1390" w:rsidRDefault="005D1390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390" w:rsidRDefault="005D1390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«Проектный институт «Агропроект»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D1390" w:rsidRPr="00F26852" w:rsidTr="00D160CF">
        <w:tc>
          <w:tcPr>
            <w:tcW w:w="4785" w:type="dxa"/>
          </w:tcPr>
          <w:p w:rsidR="005D1390" w:rsidRPr="00F26852" w:rsidRDefault="005D139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5D1390" w:rsidRPr="00F26852" w:rsidRDefault="001B2ED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5D1390" w:rsidRPr="00F26852" w:rsidRDefault="005D1390" w:rsidP="00F2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A65" w:rsidRDefault="007C7600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занимающем должность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единоличного исполнительного органа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«Проектный институт «Агропроект»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основному месту работы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общества, %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7C7600" w:rsidRPr="00F26852" w:rsidTr="00D160CF">
        <w:tc>
          <w:tcPr>
            <w:tcW w:w="4785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принадлежащих обыкновенных акций акционерного общества, %</w:t>
            </w:r>
          </w:p>
        </w:tc>
        <w:tc>
          <w:tcPr>
            <w:tcW w:w="4786" w:type="dxa"/>
          </w:tcPr>
          <w:p w:rsidR="007C7600" w:rsidRPr="00F26852" w:rsidRDefault="007C7600" w:rsidP="00D1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p w:rsidR="007C7600" w:rsidRDefault="007C7600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600" w:rsidRDefault="007C7600" w:rsidP="007C76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директором сделки с акциями общества не осуществлялись.</w:t>
      </w:r>
    </w:p>
    <w:p w:rsidR="007C7600" w:rsidRDefault="007C7600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13A" w:rsidRDefault="00DA613A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13A" w:rsidRDefault="00DA613A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416" w:rsidRDefault="00B04416" w:rsidP="007C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600" w:rsidRDefault="007C7600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положения политики акционерного</w:t>
      </w:r>
      <w:proofErr w:type="gramEnd"/>
    </w:p>
    <w:p w:rsidR="00DA613A" w:rsidRDefault="00DA613A" w:rsidP="00DA613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в области вознаграждения (или) компенсации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расходов. Критерии определения и размер вознаграждения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(компенсации расходов) лица, занимающего должность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единоличного исполнительного органа и каждого члена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директоров акционерного общества, выплаченного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выплачиваемого по результатам 2016 года</w:t>
      </w:r>
    </w:p>
    <w:p w:rsidR="007C7600" w:rsidRDefault="007C7600" w:rsidP="007C76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положения политики акционерного общества в области вознаграждений и компенсаций расходов членам Совета директоров и директору следующие:</w:t>
      </w: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общество не практикует выплату вознаграждений членам Совета директоров, хотя в дальнейшем такие выплаты не исключаются. Колле</w:t>
      </w:r>
      <w:r w:rsidR="00DA613A">
        <w:rPr>
          <w:rFonts w:ascii="Times New Roman" w:hAnsi="Times New Roman" w:cs="Times New Roman"/>
          <w:sz w:val="24"/>
          <w:szCs w:val="24"/>
        </w:rPr>
        <w:t>гиальный исполнительный орган Акционерного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«Проектный институт «Агропроект»</w:t>
      </w:r>
      <w:r w:rsidR="00DA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 Уставом.</w:t>
      </w: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выплате в дальнейшем вознаграждений членам Совета директоров и директору, Совет директоров будет утверждать критерии определения размеров вознаграждения, и представлять для утверждения.</w:t>
      </w: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вознаграждения будет прозрачной и понятной акционерам, сведения о ней будут</w:t>
      </w:r>
      <w:r w:rsidR="00DA613A">
        <w:rPr>
          <w:rFonts w:ascii="Times New Roman" w:hAnsi="Times New Roman" w:cs="Times New Roman"/>
          <w:sz w:val="24"/>
          <w:szCs w:val="24"/>
        </w:rPr>
        <w:t xml:space="preserve"> раскрываться в годовом отчете О</w:t>
      </w:r>
      <w:r>
        <w:rPr>
          <w:rFonts w:ascii="Times New Roman" w:hAnsi="Times New Roman" w:cs="Times New Roman"/>
          <w:sz w:val="24"/>
          <w:szCs w:val="24"/>
        </w:rPr>
        <w:t>бщества.</w:t>
      </w: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вознаграждений членов Совета директоров будет определяться на основе оценки их деятельности, и зависе</w:t>
      </w:r>
      <w:r w:rsidR="00DA613A">
        <w:rPr>
          <w:rFonts w:ascii="Times New Roman" w:hAnsi="Times New Roman" w:cs="Times New Roman"/>
          <w:sz w:val="24"/>
          <w:szCs w:val="24"/>
        </w:rPr>
        <w:t>ть от результатов деятельности О</w:t>
      </w:r>
      <w:r>
        <w:rPr>
          <w:rFonts w:ascii="Times New Roman" w:hAnsi="Times New Roman" w:cs="Times New Roman"/>
          <w:sz w:val="24"/>
          <w:szCs w:val="24"/>
        </w:rPr>
        <w:t>бщества и итогов деятельности Совета директоров.</w:t>
      </w:r>
    </w:p>
    <w:p w:rsidR="007C7600" w:rsidRDefault="007C7600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единоличного исполнительного органа определяется как фиксированная сумма (ежемесячный оклад) в соответствии с трудовым договором, также по итогам каждого месяца/квартала/года и за особые достижения в соответствии с системным положением о премировании персонала может выплачиваться дополнительное вознаграждение. Отдельно размер вознаг</w:t>
      </w:r>
      <w:r w:rsidR="003907FC">
        <w:rPr>
          <w:rFonts w:ascii="Times New Roman" w:hAnsi="Times New Roman" w:cs="Times New Roman"/>
          <w:sz w:val="24"/>
          <w:szCs w:val="24"/>
        </w:rPr>
        <w:t>раждения единоличного исполните</w:t>
      </w:r>
      <w:r>
        <w:rPr>
          <w:rFonts w:ascii="Times New Roman" w:hAnsi="Times New Roman" w:cs="Times New Roman"/>
          <w:sz w:val="24"/>
          <w:szCs w:val="24"/>
        </w:rPr>
        <w:t>льного</w:t>
      </w:r>
      <w:r w:rsidR="003907FC">
        <w:rPr>
          <w:rFonts w:ascii="Times New Roman" w:hAnsi="Times New Roman" w:cs="Times New Roman"/>
          <w:sz w:val="24"/>
          <w:szCs w:val="24"/>
        </w:rPr>
        <w:t xml:space="preserve"> органа не раскрывается с </w:t>
      </w:r>
      <w:proofErr w:type="gramStart"/>
      <w:r w:rsidR="003907FC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3907FC">
        <w:rPr>
          <w:rFonts w:ascii="Times New Roman" w:hAnsi="Times New Roman" w:cs="Times New Roman"/>
          <w:sz w:val="24"/>
          <w:szCs w:val="24"/>
        </w:rPr>
        <w:t xml:space="preserve"> установленного в акционерном обществе режима конфиденциальности в отношении сведений о вознаграждении единоличного исполнительного органа.</w:t>
      </w:r>
    </w:p>
    <w:p w:rsidR="003907FC" w:rsidRDefault="003907FC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расходов членами исполнительных органов за осуществление ими соответствующих функций не осуществлялись. Компенсации расходов единоличному органу-  директору не осуществлялись.</w:t>
      </w:r>
    </w:p>
    <w:p w:rsidR="003907FC" w:rsidRDefault="003907FC" w:rsidP="007C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7FC" w:rsidRDefault="003907FC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(отчет) о 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акционерным</w:t>
      </w:r>
      <w:proofErr w:type="gramEnd"/>
    </w:p>
    <w:p w:rsidR="003907FC" w:rsidRDefault="003907FC" w:rsidP="003907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обществом принципов и рекомендаций кодекса</w:t>
      </w:r>
    </w:p>
    <w:p w:rsidR="003907FC" w:rsidRDefault="003907FC" w:rsidP="003907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корпоративного управления, рекомендованного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07FC" w:rsidRDefault="003907FC" w:rsidP="003907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применению банком России.</w:t>
      </w:r>
    </w:p>
    <w:p w:rsidR="003907FC" w:rsidRDefault="003907FC" w:rsidP="003907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907FC" w:rsidRDefault="003907FC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 официально не утвержден Кодекс корпоративного управления или иной аналогичный документ, однако АО «</w:t>
      </w:r>
      <w:r w:rsidR="00DA613A">
        <w:rPr>
          <w:rFonts w:ascii="Times New Roman" w:hAnsi="Times New Roman" w:cs="Times New Roman"/>
          <w:sz w:val="24"/>
          <w:szCs w:val="24"/>
        </w:rPr>
        <w:t xml:space="preserve">ПИ </w:t>
      </w:r>
      <w:r>
        <w:rPr>
          <w:rFonts w:ascii="Times New Roman" w:hAnsi="Times New Roman" w:cs="Times New Roman"/>
          <w:sz w:val="24"/>
          <w:szCs w:val="24"/>
        </w:rPr>
        <w:t xml:space="preserve">Агропроект» обеспечивает акционерам все возможности по участию </w:t>
      </w:r>
      <w:r w:rsidR="00DA613A">
        <w:rPr>
          <w:rFonts w:ascii="Times New Roman" w:hAnsi="Times New Roman" w:cs="Times New Roman"/>
          <w:sz w:val="24"/>
          <w:szCs w:val="24"/>
        </w:rPr>
        <w:t>в управлении О</w:t>
      </w:r>
      <w:r>
        <w:rPr>
          <w:rFonts w:ascii="Times New Roman" w:hAnsi="Times New Roman" w:cs="Times New Roman"/>
          <w:sz w:val="24"/>
          <w:szCs w:val="24"/>
        </w:rPr>
        <w:t>бществом и получ</w:t>
      </w:r>
      <w:r w:rsidR="00DA613A">
        <w:rPr>
          <w:rFonts w:ascii="Times New Roman" w:hAnsi="Times New Roman" w:cs="Times New Roman"/>
          <w:sz w:val="24"/>
          <w:szCs w:val="24"/>
        </w:rPr>
        <w:t>ению информации о деятельности О</w:t>
      </w:r>
      <w:r>
        <w:rPr>
          <w:rFonts w:ascii="Times New Roman" w:hAnsi="Times New Roman" w:cs="Times New Roman"/>
          <w:sz w:val="24"/>
          <w:szCs w:val="24"/>
        </w:rPr>
        <w:t>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3907FC" w:rsidRDefault="00DA613A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принципом построения О</w:t>
      </w:r>
      <w:r w:rsidR="003907FC">
        <w:rPr>
          <w:rFonts w:ascii="Times New Roman" w:hAnsi="Times New Roman" w:cs="Times New Roman"/>
          <w:sz w:val="24"/>
          <w:szCs w:val="24"/>
        </w:rPr>
        <w:t>бществом взаимоотношений с акционерами и инвесторами явля</w:t>
      </w:r>
      <w:r>
        <w:rPr>
          <w:rFonts w:ascii="Times New Roman" w:hAnsi="Times New Roman" w:cs="Times New Roman"/>
          <w:sz w:val="24"/>
          <w:szCs w:val="24"/>
        </w:rPr>
        <w:t>ется разумный баланс интересов О</w:t>
      </w:r>
      <w:r w:rsidR="003907FC">
        <w:rPr>
          <w:rFonts w:ascii="Times New Roman" w:hAnsi="Times New Roman" w:cs="Times New Roman"/>
          <w:sz w:val="24"/>
          <w:szCs w:val="24"/>
        </w:rPr>
        <w:t>бщества как хозяйствующего субъекта и как</w:t>
      </w:r>
      <w:r w:rsidR="00F8258A">
        <w:rPr>
          <w:rFonts w:ascii="Times New Roman" w:hAnsi="Times New Roman" w:cs="Times New Roman"/>
          <w:sz w:val="24"/>
          <w:szCs w:val="24"/>
        </w:rPr>
        <w:t xml:space="preserve"> акционерного общества, заинтересованного в защите прав и законных интересов своих акционеров.</w:t>
      </w:r>
    </w:p>
    <w:p w:rsidR="00F8258A" w:rsidRDefault="00F8258A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Акционеры имеют право участвовать в управлении акционерным обществом путем принятия решений по наиболе</w:t>
      </w:r>
      <w:r w:rsidR="00DA613A">
        <w:rPr>
          <w:rFonts w:ascii="Times New Roman" w:hAnsi="Times New Roman" w:cs="Times New Roman"/>
          <w:sz w:val="24"/>
          <w:szCs w:val="24"/>
        </w:rPr>
        <w:t>е важным вопросам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бщества на общем собрании акционеров. Акционерам предоставлено право на регулярное и своевременное получение информации о </w:t>
      </w:r>
      <w:r w:rsidR="00DA613A">
        <w:rPr>
          <w:rFonts w:ascii="Times New Roman" w:hAnsi="Times New Roman" w:cs="Times New Roman"/>
          <w:sz w:val="24"/>
          <w:szCs w:val="24"/>
        </w:rPr>
        <w:t>деятельности О</w:t>
      </w:r>
      <w:r>
        <w:rPr>
          <w:rFonts w:ascii="Times New Roman" w:hAnsi="Times New Roman" w:cs="Times New Roman"/>
          <w:sz w:val="24"/>
          <w:szCs w:val="24"/>
        </w:rPr>
        <w:t>бщества.</w:t>
      </w:r>
    </w:p>
    <w:p w:rsidR="00F8258A" w:rsidRDefault="00F8258A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сложившейся практике корпоративных отношений обществом реализуются основные положения Кодекса корпоративного управления.</w:t>
      </w:r>
    </w:p>
    <w:p w:rsidR="00F8258A" w:rsidRDefault="00DA613A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О</w:t>
      </w:r>
      <w:r w:rsidR="00F8258A">
        <w:rPr>
          <w:rFonts w:ascii="Times New Roman" w:hAnsi="Times New Roman" w:cs="Times New Roman"/>
          <w:sz w:val="24"/>
          <w:szCs w:val="24"/>
        </w:rPr>
        <w:t>бщества не допущены к организованным торгам.</w:t>
      </w:r>
    </w:p>
    <w:p w:rsidR="00F8258A" w:rsidRDefault="00F8258A" w:rsidP="00390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58A" w:rsidRDefault="00F8258A" w:rsidP="009755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о состоянии стоимости чистых активов</w:t>
      </w:r>
    </w:p>
    <w:p w:rsidR="00F8258A" w:rsidRDefault="00F8258A" w:rsidP="00F8258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F8258A" w:rsidRDefault="002B7CC1" w:rsidP="00F8258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-179705</wp:posOffset>
            </wp:positionV>
            <wp:extent cx="7134225" cy="3604895"/>
            <wp:effectExtent l="19050" t="0" r="9525" b="0"/>
            <wp:wrapThrough wrapText="bothSides">
              <wp:wrapPolygon edited="0">
                <wp:start x="-58" y="0"/>
                <wp:lineTo x="-58" y="21459"/>
                <wp:lineTo x="21629" y="21459"/>
                <wp:lineTo x="21629" y="0"/>
                <wp:lineTo x="-5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258A" w:rsidSect="0096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BF6"/>
    <w:multiLevelType w:val="hybridMultilevel"/>
    <w:tmpl w:val="F36C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E47"/>
    <w:multiLevelType w:val="hybridMultilevel"/>
    <w:tmpl w:val="4652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6AED"/>
    <w:multiLevelType w:val="hybridMultilevel"/>
    <w:tmpl w:val="6E16C4EC"/>
    <w:lvl w:ilvl="0" w:tplc="44B65F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8535E"/>
    <w:multiLevelType w:val="hybridMultilevel"/>
    <w:tmpl w:val="E8D02DFE"/>
    <w:lvl w:ilvl="0" w:tplc="57385B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48BA"/>
    <w:multiLevelType w:val="hybridMultilevel"/>
    <w:tmpl w:val="7326E164"/>
    <w:lvl w:ilvl="0" w:tplc="B238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42108"/>
    <w:multiLevelType w:val="hybridMultilevel"/>
    <w:tmpl w:val="FC2CE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3A4C"/>
    <w:rsid w:val="000408A0"/>
    <w:rsid w:val="000D28B9"/>
    <w:rsid w:val="000E3E08"/>
    <w:rsid w:val="00163A4C"/>
    <w:rsid w:val="001903B2"/>
    <w:rsid w:val="001A2E95"/>
    <w:rsid w:val="001B2ED0"/>
    <w:rsid w:val="001D3563"/>
    <w:rsid w:val="001F4B45"/>
    <w:rsid w:val="002034A9"/>
    <w:rsid w:val="0023180B"/>
    <w:rsid w:val="0023302F"/>
    <w:rsid w:val="00293B3F"/>
    <w:rsid w:val="00293CC1"/>
    <w:rsid w:val="002B6B1B"/>
    <w:rsid w:val="002B7CC1"/>
    <w:rsid w:val="002C2101"/>
    <w:rsid w:val="003907FC"/>
    <w:rsid w:val="00393B9A"/>
    <w:rsid w:val="003B272C"/>
    <w:rsid w:val="003C5550"/>
    <w:rsid w:val="004B1291"/>
    <w:rsid w:val="00512913"/>
    <w:rsid w:val="005373BF"/>
    <w:rsid w:val="005D1390"/>
    <w:rsid w:val="00685ABD"/>
    <w:rsid w:val="00790CAC"/>
    <w:rsid w:val="007A703C"/>
    <w:rsid w:val="007C7600"/>
    <w:rsid w:val="0082378F"/>
    <w:rsid w:val="008A7EF5"/>
    <w:rsid w:val="009362C8"/>
    <w:rsid w:val="0096047F"/>
    <w:rsid w:val="00975527"/>
    <w:rsid w:val="00976008"/>
    <w:rsid w:val="0098346A"/>
    <w:rsid w:val="00A718EF"/>
    <w:rsid w:val="00AA2C6E"/>
    <w:rsid w:val="00AB4B00"/>
    <w:rsid w:val="00B014BC"/>
    <w:rsid w:val="00B04416"/>
    <w:rsid w:val="00BC00FA"/>
    <w:rsid w:val="00BC79C1"/>
    <w:rsid w:val="00C02A8A"/>
    <w:rsid w:val="00C64270"/>
    <w:rsid w:val="00CA5546"/>
    <w:rsid w:val="00CB0A65"/>
    <w:rsid w:val="00CB523B"/>
    <w:rsid w:val="00D160CF"/>
    <w:rsid w:val="00D76072"/>
    <w:rsid w:val="00DA613A"/>
    <w:rsid w:val="00E704BA"/>
    <w:rsid w:val="00F26852"/>
    <w:rsid w:val="00F8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4C"/>
    <w:pPr>
      <w:spacing w:after="0" w:line="240" w:lineRule="auto"/>
    </w:pPr>
  </w:style>
  <w:style w:type="table" w:styleId="a4">
    <w:name w:val="Table Grid"/>
    <w:basedOn w:val="a1"/>
    <w:uiPriority w:val="59"/>
    <w:rsid w:val="008A7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7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75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19B1-CA31-40C4-BC71-96E46BF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2018-06-15T11:58:00Z</cp:lastPrinted>
  <dcterms:created xsi:type="dcterms:W3CDTF">2018-06-15T13:22:00Z</dcterms:created>
  <dcterms:modified xsi:type="dcterms:W3CDTF">2018-06-15T13:22:00Z</dcterms:modified>
</cp:coreProperties>
</file>